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bottom w:val="single" w:sz="4" w:space="0" w:color="auto"/>
        </w:tblBorders>
        <w:tblLook w:val="01E0" w:firstRow="1" w:lastRow="1" w:firstColumn="1" w:lastColumn="1" w:noHBand="0" w:noVBand="0"/>
      </w:tblPr>
      <w:tblGrid>
        <w:gridCol w:w="6940"/>
        <w:gridCol w:w="1842"/>
      </w:tblGrid>
      <w:tr w:rsidR="000A03B2" w:rsidRPr="00B57B36" w14:paraId="2A131A54" w14:textId="77777777" w:rsidTr="00FD0BEC">
        <w:trPr>
          <w:trHeight w:val="852"/>
          <w:jc w:val="center"/>
        </w:trPr>
        <w:tc>
          <w:tcPr>
            <w:tcW w:w="6940" w:type="dxa"/>
            <w:vMerge w:val="restart"/>
            <w:tcBorders>
              <w:right w:val="single" w:sz="4" w:space="0" w:color="auto"/>
            </w:tcBorders>
          </w:tcPr>
          <w:p w14:paraId="38C3D2BA" w14:textId="77777777" w:rsidR="000A03B2" w:rsidRPr="00B57B36" w:rsidRDefault="000A03B2" w:rsidP="00DE264A">
            <w:pPr>
              <w:tabs>
                <w:tab w:val="left" w:pos="-108"/>
              </w:tabs>
              <w:ind w:left="-108"/>
              <w:jc w:val="left"/>
              <w:rPr>
                <w:rFonts w:cs="Arial"/>
                <w:b/>
                <w:bCs/>
                <w:i/>
                <w:iCs/>
                <w:color w:val="000066"/>
                <w:sz w:val="12"/>
                <w:szCs w:val="12"/>
                <w:lang w:eastAsia="it-IT"/>
              </w:rPr>
            </w:pPr>
            <w:bookmarkStart w:id="0" w:name="_Hlk145068772"/>
            <w:r w:rsidRPr="00B57B36">
              <w:rPr>
                <w:rFonts w:ascii="AdvP6960" w:hAnsi="AdvP6960" w:cs="AdvP6960"/>
                <w:noProof/>
                <w:color w:val="241F20"/>
                <w:szCs w:val="18"/>
                <w:lang w:eastAsia="en-GB"/>
              </w:rPr>
              <w:drawing>
                <wp:inline distT="0" distB="0" distL="0" distR="0" wp14:anchorId="02B7C3D3" wp14:editId="5EE03112">
                  <wp:extent cx="640080" cy="373380"/>
                  <wp:effectExtent l="0" t="0" r="7620" b="7620"/>
                  <wp:docPr id="5" name="Immagine 5" descr="c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et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373380"/>
                          </a:xfrm>
                          <a:prstGeom prst="rect">
                            <a:avLst/>
                          </a:prstGeom>
                          <a:noFill/>
                          <a:ln>
                            <a:noFill/>
                          </a:ln>
                        </pic:spPr>
                      </pic:pic>
                    </a:graphicData>
                  </a:graphic>
                </wp:inline>
              </w:drawing>
            </w:r>
            <w:r w:rsidRPr="00B57B36">
              <w:rPr>
                <w:rFonts w:ascii="AdvP6960" w:hAnsi="AdvP6960" w:cs="AdvP6960"/>
                <w:color w:val="241F20"/>
                <w:szCs w:val="18"/>
                <w:lang w:eastAsia="it-IT"/>
              </w:rPr>
              <w:t xml:space="preserve"> </w:t>
            </w:r>
            <w:r w:rsidRPr="00B57B36">
              <w:rPr>
                <w:rFonts w:cs="Arial"/>
                <w:b/>
                <w:bCs/>
                <w:i/>
                <w:iCs/>
                <w:color w:val="000066"/>
                <w:sz w:val="24"/>
                <w:szCs w:val="24"/>
                <w:lang w:eastAsia="it-IT"/>
              </w:rPr>
              <w:t>CHEMICAL ENGINEERING</w:t>
            </w:r>
            <w:r w:rsidRPr="00B57B36">
              <w:rPr>
                <w:rFonts w:cs="Arial"/>
                <w:b/>
                <w:bCs/>
                <w:i/>
                <w:iCs/>
                <w:color w:val="0033FF"/>
                <w:sz w:val="24"/>
                <w:szCs w:val="24"/>
                <w:lang w:eastAsia="it-IT"/>
              </w:rPr>
              <w:t xml:space="preserve"> </w:t>
            </w:r>
            <w:r w:rsidRPr="00B57B36">
              <w:rPr>
                <w:rFonts w:cs="Arial"/>
                <w:b/>
                <w:bCs/>
                <w:i/>
                <w:iCs/>
                <w:color w:val="666666"/>
                <w:sz w:val="24"/>
                <w:szCs w:val="24"/>
                <w:lang w:eastAsia="it-IT"/>
              </w:rPr>
              <w:t>TRANSACTIONS</w:t>
            </w:r>
            <w:r w:rsidRPr="00B57B36">
              <w:rPr>
                <w:color w:val="333333"/>
                <w:sz w:val="24"/>
                <w:szCs w:val="24"/>
                <w:lang w:eastAsia="it-IT"/>
              </w:rPr>
              <w:t xml:space="preserve"> </w:t>
            </w:r>
            <w:r w:rsidRPr="00B57B36">
              <w:rPr>
                <w:rFonts w:cs="Arial"/>
                <w:b/>
                <w:bCs/>
                <w:i/>
                <w:iCs/>
                <w:color w:val="000066"/>
                <w:sz w:val="27"/>
                <w:szCs w:val="27"/>
                <w:lang w:eastAsia="it-IT"/>
              </w:rPr>
              <w:br/>
            </w:r>
          </w:p>
          <w:p w14:paraId="4B780582" w14:textId="753620B8" w:rsidR="000A03B2" w:rsidRPr="00B57B36" w:rsidRDefault="00A76EFC" w:rsidP="001D21AF">
            <w:pPr>
              <w:tabs>
                <w:tab w:val="left" w:pos="-108"/>
              </w:tabs>
              <w:ind w:left="-108"/>
              <w:rPr>
                <w:rFonts w:cs="Arial"/>
                <w:b/>
                <w:bCs/>
                <w:i/>
                <w:iCs/>
                <w:color w:val="000066"/>
                <w:sz w:val="22"/>
                <w:szCs w:val="22"/>
                <w:lang w:eastAsia="it-IT"/>
              </w:rPr>
            </w:pPr>
            <w:r w:rsidRPr="00B57B36">
              <w:rPr>
                <w:rFonts w:cs="Arial"/>
                <w:b/>
                <w:bCs/>
                <w:i/>
                <w:iCs/>
                <w:color w:val="000066"/>
                <w:sz w:val="22"/>
                <w:szCs w:val="22"/>
                <w:lang w:eastAsia="it-IT"/>
              </w:rPr>
              <w:t>VOL.</w:t>
            </w:r>
            <w:r w:rsidR="00785BF9">
              <w:rPr>
                <w:rFonts w:cs="Arial"/>
                <w:b/>
                <w:bCs/>
                <w:i/>
                <w:iCs/>
                <w:color w:val="000066"/>
                <w:sz w:val="22"/>
                <w:szCs w:val="22"/>
                <w:lang w:eastAsia="it-IT"/>
              </w:rPr>
              <w:t xml:space="preserve"> </w:t>
            </w:r>
            <w:r w:rsidR="00AD0278">
              <w:rPr>
                <w:rFonts w:cs="Arial"/>
                <w:b/>
                <w:bCs/>
                <w:i/>
                <w:iCs/>
                <w:color w:val="000066"/>
                <w:sz w:val="22"/>
                <w:szCs w:val="22"/>
                <w:lang w:eastAsia="it-IT"/>
              </w:rPr>
              <w:t>xxx</w:t>
            </w:r>
            <w:r w:rsidR="007B48F9">
              <w:rPr>
                <w:rFonts w:cs="Arial"/>
                <w:b/>
                <w:bCs/>
                <w:i/>
                <w:iCs/>
                <w:color w:val="000066"/>
                <w:sz w:val="22"/>
                <w:szCs w:val="22"/>
                <w:lang w:eastAsia="it-IT"/>
              </w:rPr>
              <w:t>,</w:t>
            </w:r>
            <w:r w:rsidR="00FA5F5F">
              <w:rPr>
                <w:rFonts w:cs="Arial"/>
                <w:b/>
                <w:bCs/>
                <w:i/>
                <w:iCs/>
                <w:color w:val="000066"/>
                <w:sz w:val="22"/>
                <w:szCs w:val="22"/>
                <w:lang w:eastAsia="it-IT"/>
              </w:rPr>
              <w:t xml:space="preserve"> </w:t>
            </w:r>
            <w:r w:rsidR="0030152C">
              <w:rPr>
                <w:rFonts w:cs="Arial"/>
                <w:b/>
                <w:bCs/>
                <w:i/>
                <w:iCs/>
                <w:color w:val="000066"/>
                <w:sz w:val="22"/>
                <w:szCs w:val="22"/>
                <w:lang w:eastAsia="it-IT"/>
              </w:rPr>
              <w:t>202</w:t>
            </w:r>
            <w:r w:rsidR="00AD0278">
              <w:rPr>
                <w:rFonts w:cs="Arial"/>
                <w:b/>
                <w:bCs/>
                <w:i/>
                <w:iCs/>
                <w:color w:val="000066"/>
                <w:sz w:val="22"/>
                <w:szCs w:val="22"/>
                <w:lang w:eastAsia="it-IT"/>
              </w:rPr>
              <w:t>6</w:t>
            </w:r>
          </w:p>
        </w:tc>
        <w:tc>
          <w:tcPr>
            <w:tcW w:w="1842" w:type="dxa"/>
            <w:tcBorders>
              <w:left w:val="single" w:sz="4" w:space="0" w:color="auto"/>
              <w:bottom w:val="nil"/>
              <w:right w:val="single" w:sz="4" w:space="0" w:color="auto"/>
            </w:tcBorders>
          </w:tcPr>
          <w:p w14:paraId="56782132" w14:textId="77777777" w:rsidR="000A03B2" w:rsidRPr="00B57B36" w:rsidRDefault="000A03B2" w:rsidP="00CD5FE2">
            <w:pPr>
              <w:spacing w:line="140" w:lineRule="atLeast"/>
              <w:jc w:val="right"/>
              <w:rPr>
                <w:rFonts w:cs="Arial"/>
                <w:sz w:val="14"/>
                <w:szCs w:val="14"/>
              </w:rPr>
            </w:pPr>
            <w:r w:rsidRPr="00B57B36">
              <w:rPr>
                <w:rFonts w:cs="Arial"/>
                <w:sz w:val="14"/>
                <w:szCs w:val="14"/>
              </w:rPr>
              <w:t>A publication of</w:t>
            </w:r>
          </w:p>
          <w:p w14:paraId="599E5441" w14:textId="77777777" w:rsidR="000A03B2" w:rsidRPr="00B57B36" w:rsidRDefault="000A03B2" w:rsidP="00CD5FE2">
            <w:pPr>
              <w:jc w:val="right"/>
            </w:pPr>
            <w:r w:rsidRPr="00B57B36">
              <w:rPr>
                <w:noProof/>
                <w:lang w:eastAsia="en-GB"/>
              </w:rPr>
              <w:drawing>
                <wp:inline distT="0" distB="0" distL="0" distR="0" wp14:anchorId="59C75AF4" wp14:editId="4FF92432">
                  <wp:extent cx="670560" cy="358140"/>
                  <wp:effectExtent l="0" t="0" r="0" b="3810"/>
                  <wp:docPr id="6" name="Immagine 6" descr="aidiclogo_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idiclogo_grand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0560" cy="358140"/>
                          </a:xfrm>
                          <a:prstGeom prst="rect">
                            <a:avLst/>
                          </a:prstGeom>
                          <a:noFill/>
                          <a:ln>
                            <a:noFill/>
                          </a:ln>
                        </pic:spPr>
                      </pic:pic>
                    </a:graphicData>
                  </a:graphic>
                </wp:inline>
              </w:drawing>
            </w:r>
          </w:p>
        </w:tc>
      </w:tr>
      <w:tr w:rsidR="000A03B2" w:rsidRPr="00B57B36" w14:paraId="380FA3CD" w14:textId="77777777" w:rsidTr="00FD0BEC">
        <w:trPr>
          <w:trHeight w:val="567"/>
          <w:jc w:val="center"/>
        </w:trPr>
        <w:tc>
          <w:tcPr>
            <w:tcW w:w="6940" w:type="dxa"/>
            <w:vMerge/>
            <w:tcBorders>
              <w:right w:val="single" w:sz="4" w:space="0" w:color="auto"/>
            </w:tcBorders>
          </w:tcPr>
          <w:p w14:paraId="39E5E4C1" w14:textId="77777777" w:rsidR="000A03B2" w:rsidRPr="00B57B36" w:rsidRDefault="000A03B2" w:rsidP="00CD5FE2">
            <w:pPr>
              <w:tabs>
                <w:tab w:val="left" w:pos="-108"/>
              </w:tabs>
            </w:pPr>
          </w:p>
        </w:tc>
        <w:tc>
          <w:tcPr>
            <w:tcW w:w="1842" w:type="dxa"/>
            <w:tcBorders>
              <w:left w:val="single" w:sz="4" w:space="0" w:color="auto"/>
              <w:bottom w:val="nil"/>
              <w:right w:val="single" w:sz="4" w:space="0" w:color="auto"/>
            </w:tcBorders>
          </w:tcPr>
          <w:p w14:paraId="43858A98" w14:textId="77777777" w:rsidR="000A03B2" w:rsidRPr="00B57B36" w:rsidRDefault="000A03B2" w:rsidP="00CD5FE2">
            <w:pPr>
              <w:spacing w:line="140" w:lineRule="atLeast"/>
              <w:jc w:val="right"/>
              <w:rPr>
                <w:rFonts w:cs="Arial"/>
                <w:sz w:val="14"/>
                <w:szCs w:val="14"/>
              </w:rPr>
            </w:pPr>
            <w:r w:rsidRPr="00B57B36">
              <w:rPr>
                <w:rFonts w:cs="Arial"/>
                <w:sz w:val="14"/>
                <w:szCs w:val="14"/>
              </w:rPr>
              <w:t>The Italian Association</w:t>
            </w:r>
          </w:p>
          <w:p w14:paraId="7522B1D2" w14:textId="77777777" w:rsidR="000A03B2" w:rsidRPr="00B57B36" w:rsidRDefault="000A03B2" w:rsidP="00CD5FE2">
            <w:pPr>
              <w:spacing w:line="140" w:lineRule="atLeast"/>
              <w:jc w:val="right"/>
              <w:rPr>
                <w:rFonts w:cs="Arial"/>
                <w:sz w:val="14"/>
                <w:szCs w:val="14"/>
              </w:rPr>
            </w:pPr>
            <w:r w:rsidRPr="00B57B36">
              <w:rPr>
                <w:rFonts w:cs="Arial"/>
                <w:sz w:val="14"/>
                <w:szCs w:val="14"/>
              </w:rPr>
              <w:t>of Chemical Engineering</w:t>
            </w:r>
          </w:p>
          <w:p w14:paraId="4F0CC5DE" w14:textId="47FDB2FC" w:rsidR="000A03B2" w:rsidRPr="000D0268" w:rsidRDefault="000D0268" w:rsidP="00CD5FE2">
            <w:pPr>
              <w:spacing w:line="140" w:lineRule="atLeast"/>
              <w:jc w:val="right"/>
              <w:rPr>
                <w:rFonts w:cs="Arial"/>
                <w:sz w:val="13"/>
                <w:szCs w:val="13"/>
              </w:rPr>
            </w:pPr>
            <w:r w:rsidRPr="000D0268">
              <w:rPr>
                <w:rFonts w:cs="Arial"/>
                <w:sz w:val="13"/>
                <w:szCs w:val="13"/>
              </w:rPr>
              <w:t>Online at www.cetjournal.it</w:t>
            </w:r>
          </w:p>
        </w:tc>
      </w:tr>
      <w:tr w:rsidR="000A03B2" w:rsidRPr="00B57B36" w14:paraId="2D1B7169" w14:textId="77777777" w:rsidTr="00FD0BEC">
        <w:trPr>
          <w:trHeight w:val="68"/>
          <w:jc w:val="center"/>
        </w:trPr>
        <w:tc>
          <w:tcPr>
            <w:tcW w:w="8782" w:type="dxa"/>
            <w:gridSpan w:val="2"/>
          </w:tcPr>
          <w:p w14:paraId="1D8DD3C9" w14:textId="174205F6" w:rsidR="00AA7D26" w:rsidRPr="00CB2614" w:rsidRDefault="004A5E57" w:rsidP="00CB2614">
            <w:pPr>
              <w:ind w:left="-107"/>
              <w:outlineLvl w:val="2"/>
              <w:rPr>
                <w:rFonts w:ascii="Tahoma" w:hAnsi="Tahoma" w:cs="Tahoma"/>
                <w:color w:val="000000"/>
                <w:sz w:val="14"/>
                <w:szCs w:val="14"/>
                <w:shd w:val="clear" w:color="auto" w:fill="FFFFFF"/>
                <w:lang w:val="it-IT"/>
              </w:rPr>
            </w:pPr>
            <w:r w:rsidRPr="00CB2614">
              <w:rPr>
                <w:rFonts w:ascii="Tahoma" w:hAnsi="Tahoma" w:cs="Tahoma"/>
                <w:iCs/>
                <w:color w:val="333333"/>
                <w:sz w:val="14"/>
                <w:szCs w:val="14"/>
                <w:lang w:val="it-IT" w:eastAsia="it-IT"/>
              </w:rPr>
              <w:t>Guest Editors:</w:t>
            </w:r>
            <w:r w:rsidRPr="00CB2614">
              <w:rPr>
                <w:rFonts w:ascii="Tahoma" w:hAnsi="Tahoma" w:cs="Tahoma"/>
                <w:color w:val="000000"/>
                <w:sz w:val="14"/>
                <w:szCs w:val="14"/>
                <w:shd w:val="clear" w:color="auto" w:fill="FFFFFF"/>
                <w:lang w:val="it-IT"/>
              </w:rPr>
              <w:t xml:space="preserve"> </w:t>
            </w:r>
            <w:r w:rsidR="00CB2614" w:rsidRPr="00CB2614">
              <w:rPr>
                <w:rFonts w:ascii="Tahoma" w:hAnsi="Tahoma" w:cs="Tahoma"/>
                <w:color w:val="000000"/>
                <w:sz w:val="14"/>
                <w:szCs w:val="14"/>
                <w:shd w:val="clear" w:color="auto" w:fill="FFFFFF"/>
                <w:lang w:val="it-IT"/>
              </w:rPr>
              <w:t>Flavio Manenti, Botir Usmonov, Alessandro Di Pretoro</w:t>
            </w:r>
          </w:p>
          <w:p w14:paraId="1B0F1814" w14:textId="710B7B96" w:rsidR="000A03B2" w:rsidRPr="00B57B36" w:rsidRDefault="00AA7D26" w:rsidP="00AA7D26">
            <w:pPr>
              <w:tabs>
                <w:tab w:val="left" w:pos="-108"/>
              </w:tabs>
              <w:spacing w:line="140" w:lineRule="atLeast"/>
              <w:ind w:left="-107"/>
              <w:jc w:val="left"/>
            </w:pPr>
            <w:r>
              <w:rPr>
                <w:rFonts w:ascii="Tahoma" w:hAnsi="Tahoma" w:cs="Tahoma"/>
                <w:iCs/>
                <w:color w:val="333333"/>
                <w:sz w:val="14"/>
                <w:szCs w:val="14"/>
                <w:lang w:eastAsia="it-IT"/>
              </w:rPr>
              <w:t>Copyright © 202</w:t>
            </w:r>
            <w:r w:rsidR="00005884">
              <w:rPr>
                <w:rFonts w:ascii="Tahoma" w:hAnsi="Tahoma" w:cs="Tahoma"/>
                <w:iCs/>
                <w:color w:val="333333"/>
                <w:sz w:val="14"/>
                <w:szCs w:val="14"/>
                <w:lang w:eastAsia="it-IT"/>
              </w:rPr>
              <w:t>6</w:t>
            </w:r>
            <w:r w:rsidRPr="00B57B36">
              <w:rPr>
                <w:rFonts w:ascii="Tahoma" w:hAnsi="Tahoma" w:cs="Tahoma"/>
                <w:iCs/>
                <w:color w:val="333333"/>
                <w:sz w:val="14"/>
                <w:szCs w:val="14"/>
                <w:lang w:eastAsia="it-IT"/>
              </w:rPr>
              <w:t>, AIDIC Servizi S.r.l.</w:t>
            </w:r>
            <w:r w:rsidRPr="00B57B36">
              <w:rPr>
                <w:rFonts w:ascii="Tahoma" w:hAnsi="Tahoma" w:cs="Tahoma"/>
                <w:iCs/>
                <w:color w:val="333333"/>
                <w:sz w:val="14"/>
                <w:szCs w:val="14"/>
                <w:lang w:eastAsia="it-IT"/>
              </w:rPr>
              <w:br/>
            </w:r>
            <w:r w:rsidRPr="00B57B36">
              <w:rPr>
                <w:rFonts w:ascii="Tahoma" w:hAnsi="Tahoma" w:cs="Tahoma"/>
                <w:b/>
                <w:iCs/>
                <w:color w:val="000000"/>
                <w:sz w:val="14"/>
                <w:szCs w:val="14"/>
                <w:lang w:eastAsia="it-IT"/>
              </w:rPr>
              <w:t>ISBN</w:t>
            </w:r>
            <w:r w:rsidRPr="00B57B36">
              <w:rPr>
                <w:rFonts w:ascii="Tahoma" w:hAnsi="Tahoma" w:cs="Tahoma"/>
                <w:iCs/>
                <w:color w:val="000000"/>
                <w:sz w:val="14"/>
                <w:szCs w:val="14"/>
                <w:lang w:eastAsia="it-IT"/>
              </w:rPr>
              <w:t xml:space="preserve"> </w:t>
            </w:r>
            <w:r w:rsidR="00D2582C" w:rsidRPr="000562A9">
              <w:rPr>
                <w:rFonts w:ascii="Tahoma" w:hAnsi="Tahoma" w:cs="Tahoma"/>
                <w:sz w:val="14"/>
                <w:szCs w:val="14"/>
              </w:rPr>
              <w:t>97</w:t>
            </w:r>
            <w:r w:rsidR="00D2582C">
              <w:rPr>
                <w:rFonts w:ascii="Tahoma" w:hAnsi="Tahoma" w:cs="Tahoma"/>
                <w:sz w:val="14"/>
                <w:szCs w:val="14"/>
              </w:rPr>
              <w:t>9</w:t>
            </w:r>
            <w:r w:rsidR="00D2582C" w:rsidRPr="000562A9">
              <w:rPr>
                <w:rFonts w:ascii="Tahoma" w:hAnsi="Tahoma" w:cs="Tahoma"/>
                <w:sz w:val="14"/>
                <w:szCs w:val="14"/>
              </w:rPr>
              <w:t>-</w:t>
            </w:r>
            <w:r w:rsidR="00D2582C">
              <w:rPr>
                <w:rFonts w:ascii="Tahoma" w:hAnsi="Tahoma" w:cs="Tahoma"/>
                <w:sz w:val="14"/>
                <w:szCs w:val="14"/>
              </w:rPr>
              <w:t>12</w:t>
            </w:r>
            <w:r w:rsidR="00D2582C" w:rsidRPr="000562A9">
              <w:rPr>
                <w:rFonts w:ascii="Tahoma" w:hAnsi="Tahoma" w:cs="Tahoma"/>
                <w:sz w:val="14"/>
                <w:szCs w:val="14"/>
              </w:rPr>
              <w:t>-</w:t>
            </w:r>
            <w:r w:rsidR="00D2582C">
              <w:rPr>
                <w:rFonts w:ascii="Tahoma" w:hAnsi="Tahoma" w:cs="Tahoma"/>
                <w:sz w:val="14"/>
                <w:szCs w:val="14"/>
              </w:rPr>
              <w:t>81206-</w:t>
            </w:r>
            <w:r w:rsidR="00005884">
              <w:rPr>
                <w:rFonts w:ascii="Tahoma" w:hAnsi="Tahoma" w:cs="Tahoma"/>
                <w:sz w:val="14"/>
                <w:szCs w:val="14"/>
              </w:rPr>
              <w:t>xx</w:t>
            </w:r>
            <w:r w:rsidR="009041F8">
              <w:rPr>
                <w:rFonts w:ascii="Tahoma" w:hAnsi="Tahoma" w:cs="Tahoma"/>
                <w:sz w:val="14"/>
                <w:szCs w:val="14"/>
              </w:rPr>
              <w:t>-</w:t>
            </w:r>
            <w:r w:rsidR="00005884">
              <w:rPr>
                <w:rFonts w:ascii="Tahoma" w:hAnsi="Tahoma" w:cs="Tahoma"/>
                <w:sz w:val="14"/>
                <w:szCs w:val="14"/>
              </w:rPr>
              <w:t>x</w:t>
            </w:r>
            <w:r w:rsidRPr="00EF06D9">
              <w:rPr>
                <w:rFonts w:ascii="Tahoma" w:hAnsi="Tahoma" w:cs="Tahoma"/>
                <w:iCs/>
                <w:color w:val="333333"/>
                <w:sz w:val="14"/>
                <w:szCs w:val="14"/>
                <w:lang w:eastAsia="it-IT"/>
              </w:rPr>
              <w:t>;</w:t>
            </w:r>
            <w:r w:rsidRPr="00B57B36">
              <w:rPr>
                <w:rFonts w:ascii="Tahoma" w:hAnsi="Tahoma" w:cs="Tahoma"/>
                <w:iCs/>
                <w:color w:val="333333"/>
                <w:sz w:val="14"/>
                <w:szCs w:val="14"/>
                <w:lang w:eastAsia="it-IT"/>
              </w:rPr>
              <w:t xml:space="preserve"> </w:t>
            </w:r>
            <w:r w:rsidRPr="00B57B36">
              <w:rPr>
                <w:rFonts w:ascii="Tahoma" w:hAnsi="Tahoma" w:cs="Tahoma"/>
                <w:b/>
                <w:iCs/>
                <w:color w:val="333333"/>
                <w:sz w:val="14"/>
                <w:szCs w:val="14"/>
                <w:lang w:eastAsia="it-IT"/>
              </w:rPr>
              <w:t>ISSN</w:t>
            </w:r>
            <w:r w:rsidRPr="00B57B36">
              <w:rPr>
                <w:rFonts w:ascii="Tahoma" w:hAnsi="Tahoma" w:cs="Tahoma"/>
                <w:iCs/>
                <w:color w:val="333333"/>
                <w:sz w:val="14"/>
                <w:szCs w:val="14"/>
                <w:lang w:eastAsia="it-IT"/>
              </w:rPr>
              <w:t xml:space="preserve"> 2283-9216</w:t>
            </w:r>
          </w:p>
        </w:tc>
      </w:tr>
    </w:tbl>
    <w:bookmarkEnd w:id="0"/>
    <w:p w14:paraId="2E667253" w14:textId="7D2BC5A7" w:rsidR="00E978D0" w:rsidRPr="00B57B36" w:rsidRDefault="00FD0BEC" w:rsidP="00E978D0">
      <w:pPr>
        <w:pStyle w:val="CETTitle"/>
      </w:pPr>
      <w:r w:rsidRPr="00FD0BEC">
        <w:t>A Simulation-Based Process Integration Strategy for CO</w:t>
      </w:r>
      <w:r w:rsidRPr="00FD0BEC">
        <w:rPr>
          <w:rFonts w:ascii="Cambria Math" w:hAnsi="Cambria Math" w:cs="Cambria Math"/>
        </w:rPr>
        <w:t>₂</w:t>
      </w:r>
      <w:r w:rsidRPr="00FD0BEC">
        <w:t>-Rich Acid Gas: Rectification, Sulfur Recovery, and CO</w:t>
      </w:r>
      <w:r w:rsidRPr="00FD0BEC">
        <w:rPr>
          <w:rFonts w:ascii="Cambria Math" w:hAnsi="Cambria Math" w:cs="Cambria Math"/>
        </w:rPr>
        <w:t>₂</w:t>
      </w:r>
      <w:r w:rsidRPr="00FD0BEC">
        <w:t xml:space="preserve"> Methanation</w:t>
      </w:r>
    </w:p>
    <w:p w14:paraId="0488FED2" w14:textId="1DEFA105" w:rsidR="00B57E6F" w:rsidRPr="00B57B36" w:rsidRDefault="00FD0BEC" w:rsidP="00B57E6F">
      <w:pPr>
        <w:pStyle w:val="CETAuthors"/>
      </w:pPr>
      <w:r w:rsidRPr="00FD0BEC">
        <w:t>Adham Norkobilov</w:t>
      </w:r>
      <w:r>
        <w:rPr>
          <w:vertAlign w:val="superscript"/>
        </w:rPr>
        <w:t>a</w:t>
      </w:r>
      <w:r w:rsidRPr="00FD0BEC">
        <w:t>, Azizbek Kamolov</w:t>
      </w:r>
      <w:r w:rsidRPr="00FD0BEC">
        <w:rPr>
          <w:vertAlign w:val="superscript"/>
        </w:rPr>
        <w:t>b</w:t>
      </w:r>
      <w:r w:rsidRPr="00FD0BEC">
        <w:t>,</w:t>
      </w:r>
      <w:r w:rsidR="00F269ED">
        <w:t xml:space="preserve"> Hulkar Abdusalomova</w:t>
      </w:r>
      <w:r w:rsidR="00F269ED" w:rsidRPr="00FD0BEC">
        <w:rPr>
          <w:vertAlign w:val="superscript"/>
        </w:rPr>
        <w:t>b</w:t>
      </w:r>
      <w:r w:rsidR="00F269ED">
        <w:t>,</w:t>
      </w:r>
      <w:r w:rsidRPr="00FD0BEC">
        <w:t xml:space="preserve"> Zafar Turakulov</w:t>
      </w:r>
      <w:r w:rsidRPr="00FD0BEC">
        <w:rPr>
          <w:vertAlign w:val="superscript"/>
        </w:rPr>
        <w:t>b</w:t>
      </w:r>
      <w:r w:rsidRPr="00FD0BEC">
        <w:t>, Sanjar Ergashev</w:t>
      </w:r>
      <w:r w:rsidRPr="00FD0BEC">
        <w:rPr>
          <w:vertAlign w:val="superscript"/>
        </w:rPr>
        <w:t>b</w:t>
      </w:r>
      <w:r w:rsidRPr="00FD0BEC">
        <w:t xml:space="preserve">, </w:t>
      </w:r>
      <w:r w:rsidR="00F269ED">
        <w:t>Farkh</w:t>
      </w:r>
      <w:bookmarkStart w:id="1" w:name="_GoBack"/>
      <w:bookmarkEnd w:id="1"/>
      <w:r w:rsidR="00F269ED">
        <w:t>ad Rakhimov</w:t>
      </w:r>
      <w:r w:rsidR="00F269ED" w:rsidRPr="00FD0BEC">
        <w:rPr>
          <w:vertAlign w:val="superscript"/>
        </w:rPr>
        <w:t>b</w:t>
      </w:r>
      <w:r w:rsidR="00F269ED">
        <w:t>, Bobiromon Kodirov</w:t>
      </w:r>
      <w:r w:rsidR="00F269ED" w:rsidRPr="00FD0BEC">
        <w:rPr>
          <w:vertAlign w:val="superscript"/>
        </w:rPr>
        <w:t>b</w:t>
      </w:r>
      <w:r w:rsidR="00F269ED">
        <w:t xml:space="preserve">, </w:t>
      </w:r>
      <w:r w:rsidRPr="00FD0BEC">
        <w:t>Jonibek Norkulov</w:t>
      </w:r>
      <w:r w:rsidRPr="00FD0BEC">
        <w:rPr>
          <w:vertAlign w:val="superscript"/>
        </w:rPr>
        <w:t>a</w:t>
      </w:r>
      <w:r w:rsidRPr="00FD0BEC">
        <w:t>, Rakhmatullo Muradov</w:t>
      </w:r>
      <w:r w:rsidRPr="00FD0BEC">
        <w:rPr>
          <w:vertAlign w:val="superscript"/>
        </w:rPr>
        <w:t>a</w:t>
      </w:r>
      <w:r w:rsidRPr="00FD0BEC">
        <w:t>, Abbos Elmanov</w:t>
      </w:r>
      <w:r w:rsidRPr="00FD0BEC">
        <w:rPr>
          <w:vertAlign w:val="superscript"/>
        </w:rPr>
        <w:t>b</w:t>
      </w:r>
      <w:r w:rsidRPr="00FD0BEC">
        <w:t>, Abdulaziz Bakhtiyorov</w:t>
      </w:r>
      <w:r w:rsidRPr="00FD0BEC">
        <w:rPr>
          <w:vertAlign w:val="superscript"/>
        </w:rPr>
        <w:t>a</w:t>
      </w:r>
    </w:p>
    <w:p w14:paraId="0AC6E768" w14:textId="77777777" w:rsidR="00FD0BEC" w:rsidRDefault="00B57E6F" w:rsidP="00B57E6F">
      <w:pPr>
        <w:pStyle w:val="CETAddress"/>
      </w:pPr>
      <w:r w:rsidRPr="00B57B36">
        <w:rPr>
          <w:vertAlign w:val="superscript"/>
        </w:rPr>
        <w:t>a</w:t>
      </w:r>
      <w:r w:rsidR="00FD0BEC" w:rsidRPr="00FD0BEC">
        <w:t xml:space="preserve"> Faculty of Food Engineering in Shahrisabz, Karshi State Technical University, Shahrisabz, 181306, Uzbekistan </w:t>
      </w:r>
    </w:p>
    <w:p w14:paraId="3D72B0B0" w14:textId="0FAAAD55" w:rsidR="00B57E6F" w:rsidRPr="00B57B36" w:rsidRDefault="00B57E6F" w:rsidP="00B57E6F">
      <w:pPr>
        <w:pStyle w:val="CETAddress"/>
      </w:pPr>
      <w:r w:rsidRPr="00B57B36">
        <w:rPr>
          <w:vertAlign w:val="superscript"/>
        </w:rPr>
        <w:t>b</w:t>
      </w:r>
      <w:r w:rsidR="00FD0BEC">
        <w:rPr>
          <w:vertAlign w:val="superscript"/>
        </w:rPr>
        <w:t xml:space="preserve"> </w:t>
      </w:r>
      <w:r w:rsidR="00FD0BEC">
        <w:t>Department of Automation and digital control, Tashkent Institute of Chemical Technology, 100011, Uzbekistan</w:t>
      </w:r>
      <w:r w:rsidRPr="00B57B36">
        <w:t xml:space="preserve"> </w:t>
      </w:r>
    </w:p>
    <w:p w14:paraId="73F1267A" w14:textId="28F6CF4E" w:rsidR="00B57E6F" w:rsidRPr="00B57B36" w:rsidRDefault="00B57E6F" w:rsidP="00B57E6F">
      <w:pPr>
        <w:pStyle w:val="CETemail"/>
      </w:pPr>
      <w:r>
        <w:t xml:space="preserve"> </w:t>
      </w:r>
      <w:r w:rsidR="00FD0BEC">
        <w:t>azbkamolov</w:t>
      </w:r>
      <w:r w:rsidRPr="00B57B36">
        <w:t>@</w:t>
      </w:r>
      <w:r w:rsidR="00FD0BEC">
        <w:t>gmail</w:t>
      </w:r>
      <w:r w:rsidRPr="00B57B36">
        <w:t>.com</w:t>
      </w:r>
    </w:p>
    <w:p w14:paraId="06EEBBA2" w14:textId="77777777" w:rsidR="00660A62" w:rsidRPr="00660A62" w:rsidRDefault="00660A62" w:rsidP="001C2117">
      <w:pPr>
        <w:pStyle w:val="CETnumberingbullets"/>
        <w:numPr>
          <w:ilvl w:val="0"/>
          <w:numId w:val="0"/>
        </w:numPr>
        <w:rPr>
          <w:b/>
          <w:bCs/>
        </w:rPr>
      </w:pPr>
      <w:r w:rsidRPr="00660A62">
        <w:rPr>
          <w:b/>
          <w:bCs/>
        </w:rPr>
        <w:t>Abstract</w:t>
      </w:r>
    </w:p>
    <w:p w14:paraId="0FA0D95F" w14:textId="77777777" w:rsidR="00660A62" w:rsidRDefault="00660A62" w:rsidP="001C2117">
      <w:pPr>
        <w:pStyle w:val="CETnumberingbullets"/>
        <w:numPr>
          <w:ilvl w:val="0"/>
          <w:numId w:val="0"/>
        </w:numPr>
        <w:jc w:val="both"/>
      </w:pPr>
      <w:r>
        <w:t>This study proposes an integrated process for the valorization of CO</w:t>
      </w:r>
      <w:r>
        <w:rPr>
          <w:rFonts w:ascii="Cambria Math" w:hAnsi="Cambria Math" w:cs="Cambria Math"/>
        </w:rPr>
        <w:t>₂</w:t>
      </w:r>
      <w:r>
        <w:t>-rich acid gas through rectification, sulfur recovery, and downstream CO</w:t>
      </w:r>
      <w:r>
        <w:rPr>
          <w:rFonts w:ascii="Cambria Math" w:hAnsi="Cambria Math" w:cs="Cambria Math"/>
        </w:rPr>
        <w:t>₂</w:t>
      </w:r>
      <w:r>
        <w:t xml:space="preserve"> methanation. The feed acid gas, containing approximately 96</w:t>
      </w:r>
      <w:r>
        <w:rPr>
          <w:rFonts w:cs="Arial"/>
        </w:rPr>
        <w:t>–</w:t>
      </w:r>
      <w:r>
        <w:t>97 mol% CO</w:t>
      </w:r>
      <w:r>
        <w:rPr>
          <w:rFonts w:ascii="Cambria Math" w:hAnsi="Cambria Math" w:cs="Cambria Math"/>
        </w:rPr>
        <w:t>₂</w:t>
      </w:r>
      <w:r>
        <w:t xml:space="preserve"> and 3</w:t>
      </w:r>
      <w:r>
        <w:rPr>
          <w:rFonts w:cs="Arial"/>
        </w:rPr>
        <w:t>–</w:t>
      </w:r>
      <w:r>
        <w:t>4 mol% H</w:t>
      </w:r>
      <w:r>
        <w:rPr>
          <w:rFonts w:ascii="Cambria Math" w:hAnsi="Cambria Math" w:cs="Cambria Math"/>
        </w:rPr>
        <w:t>₂</w:t>
      </w:r>
      <w:r>
        <w:t>S, was first treated in a rectification column to separate a high-purity CO</w:t>
      </w:r>
      <w:r>
        <w:rPr>
          <w:rFonts w:ascii="Cambria Math" w:hAnsi="Cambria Math" w:cs="Cambria Math"/>
        </w:rPr>
        <w:t>₂</w:t>
      </w:r>
      <w:r>
        <w:t xml:space="preserve"> overhead stream from an H</w:t>
      </w:r>
      <w:r>
        <w:rPr>
          <w:rFonts w:ascii="Cambria Math" w:hAnsi="Cambria Math" w:cs="Cambria Math"/>
        </w:rPr>
        <w:t>₂</w:t>
      </w:r>
      <w:r>
        <w:t>S-enriched bottoms stream. Under optimized operating conditions, the overhead stream contained 99.7 wt% CO</w:t>
      </w:r>
      <w:r>
        <w:rPr>
          <w:rFonts w:ascii="Cambria Math" w:hAnsi="Cambria Math" w:cs="Cambria Math"/>
        </w:rPr>
        <w:t>₂</w:t>
      </w:r>
      <w:r>
        <w:t>, while the H</w:t>
      </w:r>
      <w:r>
        <w:rPr>
          <w:rFonts w:ascii="Cambria Math" w:hAnsi="Cambria Math" w:cs="Cambria Math"/>
        </w:rPr>
        <w:t>₂</w:t>
      </w:r>
      <w:r>
        <w:t>S concentration in the bottoms stream increased to about 74 wt% at elevated column pressure. Increasing the rectification pressure to 32 bar also shifted the reboiler temperature to a positive range of about 20°C, improving process operability and facilitating downstream integration. The H</w:t>
      </w:r>
      <w:r>
        <w:rPr>
          <w:rFonts w:ascii="Cambria Math" w:hAnsi="Cambria Math" w:cs="Cambria Math"/>
        </w:rPr>
        <w:t>₂</w:t>
      </w:r>
      <w:r>
        <w:t>S-rich bottoms stream was subsequently directed to a sulfur recovery unit, where an H</w:t>
      </w:r>
      <w:r>
        <w:rPr>
          <w:rFonts w:ascii="Cambria Math" w:hAnsi="Cambria Math" w:cs="Cambria Math"/>
        </w:rPr>
        <w:t>₂</w:t>
      </w:r>
      <w:r>
        <w:t>S conversion of 95% resulted in an elemental sulfur production of approximately 800 kg h</w:t>
      </w:r>
      <w:r>
        <w:rPr>
          <w:rFonts w:ascii="Cambria Math" w:hAnsi="Cambria Math" w:cs="Cambria Math"/>
        </w:rPr>
        <w:t>⁻</w:t>
      </w:r>
      <w:r>
        <w:rPr>
          <w:rFonts w:cs="Arial"/>
        </w:rPr>
        <w:t>¹</w:t>
      </w:r>
      <w:r>
        <w:t>. The purified CO</w:t>
      </w:r>
      <w:r>
        <w:rPr>
          <w:rFonts w:ascii="Cambria Math" w:hAnsi="Cambria Math" w:cs="Cambria Math"/>
        </w:rPr>
        <w:t>₂</w:t>
      </w:r>
      <w:r>
        <w:t xml:space="preserve"> overhead stream was then considered as a suitable feed for methanation, where CO</w:t>
      </w:r>
      <w:r>
        <w:rPr>
          <w:rFonts w:ascii="Cambria Math" w:hAnsi="Cambria Math" w:cs="Cambria Math"/>
        </w:rPr>
        <w:t>₂</w:t>
      </w:r>
      <w:r>
        <w:t xml:space="preserve"> conversion was assumed at around 80% with almost total CH</w:t>
      </w:r>
      <w:r>
        <w:rPr>
          <w:rFonts w:ascii="Cambria Math" w:hAnsi="Cambria Math" w:cs="Cambria Math"/>
        </w:rPr>
        <w:t>₄</w:t>
      </w:r>
      <w:r>
        <w:t xml:space="preserve"> selectivity. The proposed process therefore provides a dual valorization route for CO</w:t>
      </w:r>
      <w:r>
        <w:rPr>
          <w:rFonts w:ascii="Cambria Math" w:hAnsi="Cambria Math" w:cs="Cambria Math"/>
        </w:rPr>
        <w:t>₂</w:t>
      </w:r>
      <w:r>
        <w:t>-rich acid gas, enabling simultaneous sulfur recovery and carbon utilization. The results demonstrate that the integration of rectification, Claus processing, and methanation can substantially reduce the inert CO</w:t>
      </w:r>
      <w:r>
        <w:rPr>
          <w:rFonts w:ascii="Cambria Math" w:hAnsi="Cambria Math" w:cs="Cambria Math"/>
        </w:rPr>
        <w:t>₂</w:t>
      </w:r>
      <w:r>
        <w:t xml:space="preserve"> load to the sulfur recovery unit while creating an additional pathway for converting the separated CO</w:t>
      </w:r>
      <w:r>
        <w:rPr>
          <w:rFonts w:ascii="Cambria Math" w:hAnsi="Cambria Math" w:cs="Cambria Math"/>
        </w:rPr>
        <w:t>₂</w:t>
      </w:r>
      <w:r>
        <w:t xml:space="preserve"> into synthetic methane.</w:t>
      </w:r>
    </w:p>
    <w:p w14:paraId="37A61FCE" w14:textId="6084A91D" w:rsidR="00DA24C6" w:rsidRDefault="00660A62" w:rsidP="001C2117">
      <w:pPr>
        <w:pStyle w:val="CETnumberingbullets"/>
        <w:numPr>
          <w:ilvl w:val="0"/>
          <w:numId w:val="0"/>
        </w:numPr>
      </w:pPr>
      <w:r w:rsidRPr="00660A62">
        <w:rPr>
          <w:b/>
          <w:bCs/>
        </w:rPr>
        <w:t>Keywords</w:t>
      </w:r>
      <w:r>
        <w:t>: CO</w:t>
      </w:r>
      <w:r>
        <w:rPr>
          <w:rFonts w:ascii="Cambria Math" w:hAnsi="Cambria Math" w:cs="Cambria Math"/>
        </w:rPr>
        <w:t>₂</w:t>
      </w:r>
      <w:r>
        <w:t>-rich acid gas; Carbon utilization; CO</w:t>
      </w:r>
      <w:r>
        <w:rPr>
          <w:rFonts w:ascii="Cambria Math" w:hAnsi="Cambria Math" w:cs="Cambria Math"/>
        </w:rPr>
        <w:t>₂</w:t>
      </w:r>
      <w:r>
        <w:t xml:space="preserve"> methanation; Sulfur recovery; Process integration; Simulation</w:t>
      </w:r>
    </w:p>
    <w:p w14:paraId="476B2F2E" w14:textId="77777777" w:rsidR="00600535" w:rsidRPr="00B57B36" w:rsidRDefault="00600535" w:rsidP="001C2117">
      <w:pPr>
        <w:pStyle w:val="CETHeading1"/>
        <w:rPr>
          <w:lang w:val="en-GB"/>
        </w:rPr>
      </w:pPr>
      <w:r w:rsidRPr="00B57B36">
        <w:rPr>
          <w:lang w:val="en-GB"/>
        </w:rPr>
        <w:t>Introduction</w:t>
      </w:r>
    </w:p>
    <w:p w14:paraId="2F6EA7B5" w14:textId="70540F16" w:rsidR="00660A62" w:rsidRDefault="00660A62" w:rsidP="001C2117">
      <w:pPr>
        <w:pStyle w:val="CETnumberingbullets"/>
        <w:numPr>
          <w:ilvl w:val="0"/>
          <w:numId w:val="0"/>
        </w:numPr>
        <w:jc w:val="both"/>
      </w:pPr>
      <w:r>
        <w:t>Acid gas streams generated in gas sweetening and amine regeneration units are commonly processed in sulfur recovery systems. However, when the acid gas contains a very high concentration of carbon dioxide and only a limited amount of hydrogen sulfide, direct sulfur recovery becomes less efficient because the sulfur-bearing fraction is strongly diluted by CO</w:t>
      </w:r>
      <w:r>
        <w:rPr>
          <w:rFonts w:ascii="Cambria Math" w:hAnsi="Cambria Math" w:cs="Cambria Math"/>
        </w:rPr>
        <w:t>₂</w:t>
      </w:r>
      <w:r>
        <w:t>. In industrial amine systems, the separation of H</w:t>
      </w:r>
      <w:r>
        <w:rPr>
          <w:rFonts w:ascii="Cambria Math" w:hAnsi="Cambria Math" w:cs="Cambria Math"/>
        </w:rPr>
        <w:t>₂</w:t>
      </w:r>
      <w:r>
        <w:t>S and CO</w:t>
      </w:r>
      <w:r>
        <w:rPr>
          <w:rFonts w:ascii="Cambria Math" w:hAnsi="Cambria Math" w:cs="Cambria Math"/>
        </w:rPr>
        <w:t>₂</w:t>
      </w:r>
      <w:r>
        <w:t xml:space="preserve"> is a key operation, and the choice of solvent and downstream handling strategy strongly depends on acid gas composition </w:t>
      </w:r>
      <w:r w:rsidR="00664E27">
        <w:fldChar w:fldCharType="begin"/>
      </w:r>
      <w:r w:rsidR="00664E27">
        <w:instrText xml:space="preserve"> ADDIN ZOTERO_ITEM CSL_CITATION {"citationID":"xNPxesap","properties":{"formattedCitation":"(Verma &amp; Verma, 2009)","plainCitation":"(Verma &amp; Verma, 2009)","noteIndex":0},"citationItems":[{"id":170,"uris":["http://zotero.org/users/17627094/items/WNPQ8WSI"],"itemData":{"id":170,"type":"article-journal","container-title":"Fuel Processing Technology","DOI":"10.1016/j.fuproc.2009.02.002","ISSN":"03783820","issue":"4","journalAbbreviation":"Fuel Processing Technology","language":"en","license":"https://www.elsevier.com/tdm/userlicense/1.0/","page":"483-489","source":"DOI.org (Crossref)","title":"Amine system problems arising from heat stable salts and solutions to improve system performance","volume":"90","author":[{"family":"Verma","given":"Narendra"},{"family":"Verma","given":"Anil"}],"issued":{"date-parts":[["2009",4]]}}}],"schema":"https://github.com/citation-style-language/schema/raw/master/csl-citation.json"} </w:instrText>
      </w:r>
      <w:r w:rsidR="00664E27">
        <w:fldChar w:fldCharType="separate"/>
      </w:r>
      <w:r w:rsidR="00664E27" w:rsidRPr="00664E27">
        <w:rPr>
          <w:rFonts w:cs="Arial"/>
        </w:rPr>
        <w:t>(Verma &amp; Verma, 2009)</w:t>
      </w:r>
      <w:r w:rsidR="00664E27">
        <w:fldChar w:fldCharType="end"/>
      </w:r>
      <w:r>
        <w:t xml:space="preserve">. </w:t>
      </w:r>
    </w:p>
    <w:p w14:paraId="43249F20" w14:textId="41979473" w:rsidR="00660A62" w:rsidRDefault="00660A62" w:rsidP="001C2117">
      <w:pPr>
        <w:pStyle w:val="CETnumberingbullets"/>
        <w:numPr>
          <w:ilvl w:val="0"/>
          <w:numId w:val="0"/>
        </w:numPr>
        <w:jc w:val="both"/>
      </w:pPr>
      <w:r>
        <w:t>CO</w:t>
      </w:r>
      <w:r>
        <w:rPr>
          <w:rFonts w:ascii="Cambria Math" w:hAnsi="Cambria Math" w:cs="Cambria Math"/>
        </w:rPr>
        <w:t>₂</w:t>
      </w:r>
      <w:r>
        <w:t xml:space="preserve"> capture, separation, and utilization have received increasing attention due to the need to reduce greenhouse gas emissions and improve carbon management in process industries</w:t>
      </w:r>
      <w:r w:rsidR="00F92002">
        <w:t xml:space="preserve"> </w:t>
      </w:r>
      <w:r w:rsidR="00F92002">
        <w:fldChar w:fldCharType="begin"/>
      </w:r>
      <w:r w:rsidR="00F92002">
        <w:instrText xml:space="preserve"> ADDIN ZOTERO_ITEM CSL_CITATION {"citationID":"iWkC2Zf1","properties":{"formattedCitation":"(Turakulov et al., 2024)","plainCitation":"(Turakulov et al., 2024)","noteIndex":0},"citationItems":[{"id":608,"uris":["http://zotero.org/users/17627094/items/V8S4LY4Q"],"itemData":{"id":608,"type":"paper-conference","container-title":"The 3rd International Electronic Conference on Processes","DOI":"10.3390/engproc2024067011","event-title":"International Electronic Conference on Processes","language":"en","page":"11","publisher":"MDPI","source":"DOI.org (Crossref)","title":"Enhancing Sustainability and Energy Savings in Cement Production via Waste Heat Recovery","URL":"https://www.mdpi.com/2673-4591/67/1/11","author":[{"family":"Turakulov","given":"Zafar"},{"family":"Kamolov","given":"Azizbek"},{"family":"Norkobilov","given":"Adham"},{"family":"Variny","given":"Miroslav"},{"family":"Fallanza","given":"Marcos"}],"accessed":{"date-parts":[["2026",2,3]]},"issued":{"date-parts":[["2024",8,13]]}}}],"schema":"https://github.com/citation-style-language/schema/raw/master/csl-citation.json"} </w:instrText>
      </w:r>
      <w:r w:rsidR="00F92002">
        <w:fldChar w:fldCharType="separate"/>
      </w:r>
      <w:r w:rsidR="00F92002" w:rsidRPr="00F92002">
        <w:rPr>
          <w:rFonts w:cs="Arial"/>
        </w:rPr>
        <w:t>(Turakulov et al., 2024)</w:t>
      </w:r>
      <w:r w:rsidR="00F92002">
        <w:fldChar w:fldCharType="end"/>
      </w:r>
      <w:r>
        <w:t>. Amine-based capture remains one of the most widely used approaches, but its operation is often constrained by regeneration energy demand, solvent degradation, corrosion, and fouling</w:t>
      </w:r>
      <w:r w:rsidR="00664E27">
        <w:t xml:space="preserve"> </w:t>
      </w:r>
      <w:r w:rsidR="00664E27">
        <w:fldChar w:fldCharType="begin"/>
      </w:r>
      <w:r w:rsidR="00F92002">
        <w:instrText xml:space="preserve"> ADDIN ZOTERO_ITEM CSL_CITATION {"citationID":"U1Ul3nnx","properties":{"formattedCitation":"(Peeters et al., 2025; Verma &amp; Verma, 2009)","plainCitation":"(Peeters et al., 2025; Verma &amp; Verma, 2009)","noteIndex":0},"citationItems":[{"id":774,"uris":["http://zotero.org/users/17627094/items/4CTR8S9D"],"itemData":{"id":774,"type":"article-journal","container-title":"International Journal of Greenhouse Gas Control","DOI":"10.1016/j.ijggc.2025.104500","ISSN":"17505836","journalAbbreviation":"International Journal of Greenhouse Gas Control","language":"en","page":"104500","source":"DOI.org (Crossref)","title":"Solvent degradation &amp; influences on amine-based carbon capture operations","volume":"147","author":[{"family":"Peeters","given":"Ward"},{"family":"Neerup","given":"Randi"},{"family":"Fosbøl","given":"Philip L."}],"issued":{"date-parts":[["2025",10]]}}},{"id":170,"uris":["http://zotero.org/users/17627094/items/WNPQ8WSI"],"itemData":{"id":170,"type":"article-journal","container-title":"Fuel Processing Technology","DOI":"10.1016/j.fuproc.2009.02.002","ISSN":"03783820","issue":"4","journalAbbreviation":"Fuel Processing Technology","language":"en","license":"https://www.elsevier.com/tdm/userlicense/1.0/","page":"483-489","source":"DOI.org (Crossref)","title":"Amine system problems arising from heat stable salts and solutions to improve system performance","volume":"90","author":[{"family":"Verma","given":"Narendra"},{"family":"Verma","given":"Anil"}],"issued":{"date-parts":[["2009",4]]}}}],"schema":"https://github.com/citation-style-language/schema/raw/master/csl-citation.json"} </w:instrText>
      </w:r>
      <w:r w:rsidR="00664E27">
        <w:fldChar w:fldCharType="separate"/>
      </w:r>
      <w:r w:rsidR="00F92002" w:rsidRPr="00F92002">
        <w:rPr>
          <w:rFonts w:cs="Arial"/>
        </w:rPr>
        <w:t>(Peeters et al., 2025; Verma &amp; Verma, 2009)</w:t>
      </w:r>
      <w:r w:rsidR="00664E27">
        <w:fldChar w:fldCharType="end"/>
      </w:r>
      <w:r>
        <w:t>. In many practical gas treatment systems, recovered acid gases are still handled mainly with a focus on sulfur recovery, while the carbon dioxide fraction remains underutilized. This creates an opportunity for process integration in cases where the acid gas stream is CO</w:t>
      </w:r>
      <w:r>
        <w:rPr>
          <w:rFonts w:ascii="Cambria Math" w:hAnsi="Cambria Math" w:cs="Cambria Math"/>
        </w:rPr>
        <w:t>₂</w:t>
      </w:r>
      <w:r>
        <w:t>-rich.</w:t>
      </w:r>
    </w:p>
    <w:p w14:paraId="6EF95654" w14:textId="2D8AD263" w:rsidR="00660A62" w:rsidRDefault="00660A62" w:rsidP="001C2117">
      <w:pPr>
        <w:pStyle w:val="CETnumberingbullets"/>
        <w:numPr>
          <w:ilvl w:val="0"/>
          <w:numId w:val="0"/>
        </w:numPr>
        <w:jc w:val="both"/>
      </w:pPr>
      <w:r>
        <w:lastRenderedPageBreak/>
        <w:t>Hydrogen sulfide can be converted into elemental sulfur through Claus-type sulfur recovery systems, while purified CO</w:t>
      </w:r>
      <w:r>
        <w:rPr>
          <w:rFonts w:ascii="Cambria Math" w:hAnsi="Cambria Math" w:cs="Cambria Math"/>
        </w:rPr>
        <w:t>₂</w:t>
      </w:r>
      <w:r>
        <w:t xml:space="preserve"> can be further upgraded through downstream utilization routes. Among these routes, methanation is attractive because carbon dioxide can be converted into synthetic methane in the presence of hydrogen. More generally, Aspen-based simulation studies have shown that integrating reaction and separation in a single process framework can improve process performance, reduce utility demand, and provide a useful basis for defining favorable operating conditions</w:t>
      </w:r>
      <w:r w:rsidR="00664E27">
        <w:t xml:space="preserve"> </w:t>
      </w:r>
      <w:r w:rsidR="00F92002">
        <w:fldChar w:fldCharType="begin"/>
      </w:r>
      <w:r w:rsidR="00F92002">
        <w:instrText xml:space="preserve"> ADDIN ZOTERO_ITEM CSL_CITATION {"citationID":"o0YNdy4o","properties":{"formattedCitation":"(Likkasith C. et al., 2014)","plainCitation":"(Likkasith C. et al., 2014)","noteIndex":0},"citationItems":[{"id":954,"uris":["http://zotero.org/users/17627094/items/NJQDZ7VR"],"itemData":{"id":954,"type":"article-journal","container-title":"Chemical Engineering Transactions","DOI":"10.3303/CET1439070","page":"415–420","publisher":"AIDIC: Italian Association of Chemical Engineering","publisher-place":"IT","source":"DOI.org (CSL JSON)","title":"Simulation of hydrogen production with in situ co2 removal using aspen plus","volume":"39","author":[{"literal":"Likkasith C."},{"literal":"Saebea D."},{"literal":"Arpornwichanop A."},{"literal":"Piemnernkoom N."},{"literal":"Patcharavorachot Y."}],"issued":{"date-parts":[["2014",8]]}}}],"schema":"https://github.com/citation-style-language/schema/raw/master/csl-citation.json"} </w:instrText>
      </w:r>
      <w:r w:rsidR="00F92002">
        <w:fldChar w:fldCharType="separate"/>
      </w:r>
      <w:r w:rsidR="00F92002" w:rsidRPr="00F92002">
        <w:rPr>
          <w:rFonts w:cs="Arial"/>
        </w:rPr>
        <w:t>(Likkasith C. et al., 2014)</w:t>
      </w:r>
      <w:r w:rsidR="00F92002">
        <w:fldChar w:fldCharType="end"/>
      </w:r>
      <w:r>
        <w:t xml:space="preserve">. </w:t>
      </w:r>
    </w:p>
    <w:p w14:paraId="75330C49" w14:textId="1F45D723" w:rsidR="00420568" w:rsidRDefault="00420568" w:rsidP="001C2117">
      <w:pPr>
        <w:pStyle w:val="CETnumberingbullets"/>
        <w:numPr>
          <w:ilvl w:val="0"/>
          <w:numId w:val="0"/>
        </w:numPr>
        <w:jc w:val="both"/>
      </w:pPr>
      <w:r w:rsidRPr="00420568">
        <w:t>The novelty of the present work lies not in the individual use of rectification, Claus sulfur recovery, or CO</w:t>
      </w:r>
      <w:r w:rsidRPr="00420568">
        <w:rPr>
          <w:rFonts w:ascii="Cambria Math" w:hAnsi="Cambria Math" w:cs="Cambria Math"/>
        </w:rPr>
        <w:t>₂</w:t>
      </w:r>
      <w:r w:rsidRPr="00420568">
        <w:t xml:space="preserve"> methanation, which are established technologies, but in their process-level integration for the treatment of a highly CO</w:t>
      </w:r>
      <w:r w:rsidRPr="00420568">
        <w:rPr>
          <w:rFonts w:ascii="Cambria Math" w:hAnsi="Cambria Math" w:cs="Cambria Math"/>
        </w:rPr>
        <w:t>₂</w:t>
      </w:r>
      <w:r w:rsidRPr="00420568">
        <w:t>-rich industrial acid gas stream. In conventional acid gas handling, the recovered stream is commonly routed primarily toward sulfur recovery, while a large CO</w:t>
      </w:r>
      <w:r w:rsidRPr="00420568">
        <w:rPr>
          <w:rFonts w:ascii="Cambria Math" w:hAnsi="Cambria Math" w:cs="Cambria Math"/>
        </w:rPr>
        <w:t>₂</w:t>
      </w:r>
      <w:r w:rsidRPr="00420568">
        <w:t xml:space="preserve"> fraction acts as an inert diluent and remains largely underutilized. In the proposed configuration, rectification is introduced as an enabling upstream step to simultaneously reduce the CO</w:t>
      </w:r>
      <w:r w:rsidRPr="00420568">
        <w:rPr>
          <w:rFonts w:ascii="Cambria Math" w:hAnsi="Cambria Math" w:cs="Cambria Math"/>
        </w:rPr>
        <w:t>₂</w:t>
      </w:r>
      <w:r w:rsidRPr="00420568">
        <w:t xml:space="preserve"> load entering the sulfur recovery section and generate a high-purity CO</w:t>
      </w:r>
      <w:r w:rsidRPr="00420568">
        <w:rPr>
          <w:rFonts w:ascii="Cambria Math" w:hAnsi="Cambria Math" w:cs="Cambria Math"/>
        </w:rPr>
        <w:t>₂</w:t>
      </w:r>
      <w:r w:rsidRPr="00420568">
        <w:t xml:space="preserve"> stream suitable for downstream methanation. This dual-routing strategy therefore converts a single low-value acid gas stream into two process-specific feeds: an H</w:t>
      </w:r>
      <w:r w:rsidRPr="00420568">
        <w:rPr>
          <w:rFonts w:ascii="Cambria Math" w:hAnsi="Cambria Math" w:cs="Cambria Math"/>
        </w:rPr>
        <w:t>₂</w:t>
      </w:r>
      <w:r w:rsidRPr="00420568">
        <w:t>S-enriched stream for elemental sulfur production and a purified CO</w:t>
      </w:r>
      <w:r w:rsidRPr="00420568">
        <w:rPr>
          <w:rFonts w:ascii="Cambria Math" w:hAnsi="Cambria Math" w:cs="Cambria Math"/>
        </w:rPr>
        <w:t>₂</w:t>
      </w:r>
      <w:r w:rsidRPr="00420568">
        <w:t xml:space="preserve"> stream for synthetic methane generation. The practical advantage of the additional separation step is thus the simultaneous improvement of sulfur-recovery feed quality and creation of a carbon-utilization pathway, which is not addressed when the acid gas is treated only through a conventional sulfur-oriented route.</w:t>
      </w:r>
    </w:p>
    <w:p w14:paraId="1AED3853" w14:textId="3E8BC601" w:rsidR="00600535" w:rsidRDefault="00660A62" w:rsidP="001C2117">
      <w:pPr>
        <w:pStyle w:val="CETnumberingbullets"/>
        <w:numPr>
          <w:ilvl w:val="0"/>
          <w:numId w:val="0"/>
        </w:numPr>
        <w:jc w:val="both"/>
      </w:pPr>
      <w:r>
        <w:t>Process simulators such as Aspen HYSYS are therefore useful for evaluating integrated separation and conversion systems under industrially relevant conditions</w:t>
      </w:r>
      <w:r w:rsidR="00F92002">
        <w:t xml:space="preserve"> </w:t>
      </w:r>
      <w:r w:rsidR="00F92002">
        <w:fldChar w:fldCharType="begin"/>
      </w:r>
      <w:r w:rsidR="00F92002">
        <w:instrText xml:space="preserve"> ADDIN ZOTERO_ITEM CSL_CITATION {"citationID":"hcKpn8WK","properties":{"formattedCitation":"(Yehya et al., 2025)","plainCitation":"(Yehya et al., 2025)","noteIndex":0},"citationItems":[{"id":876,"uris":["http://zotero.org/users/17627094/items/CGAENIPB"],"itemData":{"id":876,"type":"article-journal","container-title":"Results in Engineering","DOI":"10.1016/j.rineng.2025.107972","ISSN":"25901230","journalAbbreviation":"Results in Engineering","language":"en","page":"107972","source":"DOI.org (Crossref)","title":"A novel integrated simulation approach for natural gas sweetening and dehydration: H2S, CO2, and H2O removal with energy optimization using Aspen HYSYS","title-short":"A novel integrated simulation approach for natural gas sweetening and dehydration","volume":"28","author":[{"family":"Yehya","given":"Rayan"},{"family":"Abou Sharaf","given":"Nour"},{"family":"Riachi","given":"Bassam"},{"family":"Assaf","given":"Jean-Claude"},{"family":"Hamd","given":"Wael"}],"issued":{"date-parts":[["2025",12]]}}}],"schema":"https://github.com/citation-style-language/schema/raw/master/csl-citation.json"} </w:instrText>
      </w:r>
      <w:r w:rsidR="00F92002">
        <w:fldChar w:fldCharType="separate"/>
      </w:r>
      <w:r w:rsidR="00F92002" w:rsidRPr="00F92002">
        <w:rPr>
          <w:rFonts w:cs="Arial"/>
        </w:rPr>
        <w:t>(Yehya et al., 2025)</w:t>
      </w:r>
      <w:r w:rsidR="00F92002">
        <w:fldChar w:fldCharType="end"/>
      </w:r>
      <w:r>
        <w:t xml:space="preserve">. </w:t>
      </w:r>
      <w:r w:rsidR="007D5D5C" w:rsidRPr="007D5D5C">
        <w:t>Accordingly, this work develops and evaluates a simulation-based integrated process to: (i) separate the acid gas into a CO</w:t>
      </w:r>
      <w:r w:rsidR="007D5D5C" w:rsidRPr="007D5D5C">
        <w:rPr>
          <w:rFonts w:ascii="Cambria Math" w:hAnsi="Cambria Math" w:cs="Cambria Math"/>
        </w:rPr>
        <w:t>₂</w:t>
      </w:r>
      <w:r w:rsidR="007D5D5C" w:rsidRPr="007D5D5C">
        <w:t>-rich distillate and an H</w:t>
      </w:r>
      <w:r w:rsidR="007D5D5C" w:rsidRPr="007D5D5C">
        <w:rPr>
          <w:rFonts w:ascii="Cambria Math" w:hAnsi="Cambria Math" w:cs="Cambria Math"/>
        </w:rPr>
        <w:t>₂</w:t>
      </w:r>
      <w:r w:rsidR="007D5D5C" w:rsidRPr="007D5D5C">
        <w:t>S-rich bottom stream by rectification, (ii) recover elemental sulfur from the H</w:t>
      </w:r>
      <w:r w:rsidR="007D5D5C" w:rsidRPr="007D5D5C">
        <w:rPr>
          <w:rFonts w:ascii="Cambria Math" w:hAnsi="Cambria Math" w:cs="Cambria Math"/>
        </w:rPr>
        <w:t>₂</w:t>
      </w:r>
      <w:r w:rsidR="007D5D5C" w:rsidRPr="007D5D5C">
        <w:t>S-enriched fraction, and (iii) convert the purified CO</w:t>
      </w:r>
      <w:r w:rsidR="007D5D5C" w:rsidRPr="007D5D5C">
        <w:rPr>
          <w:rFonts w:ascii="Cambria Math" w:hAnsi="Cambria Math" w:cs="Cambria Math"/>
        </w:rPr>
        <w:t>₂</w:t>
      </w:r>
      <w:r w:rsidR="007D5D5C" w:rsidRPr="007D5D5C">
        <w:t xml:space="preserve"> stream into methane through catalytic methanation. The proposed configuration therefore provides a dual valorization route for a real industrial CO</w:t>
      </w:r>
      <w:r w:rsidR="007D5D5C" w:rsidRPr="007D5D5C">
        <w:rPr>
          <w:rFonts w:ascii="Cambria Math" w:hAnsi="Cambria Math" w:cs="Cambria Math"/>
        </w:rPr>
        <w:t>₂</w:t>
      </w:r>
      <w:r w:rsidR="007D5D5C" w:rsidRPr="007D5D5C">
        <w:t>-rich acid gas stream.</w:t>
      </w:r>
    </w:p>
    <w:p w14:paraId="5741900F" w14:textId="7CF798E0" w:rsidR="00453E24" w:rsidRDefault="00660A62" w:rsidP="00453E24">
      <w:pPr>
        <w:pStyle w:val="CETHeading1"/>
      </w:pPr>
      <w:r w:rsidRPr="00660A62">
        <w:t>Methodology</w:t>
      </w:r>
    </w:p>
    <w:p w14:paraId="27023DED" w14:textId="5039EA6E" w:rsidR="00660A62" w:rsidRDefault="00660A62" w:rsidP="00660A62">
      <w:pPr>
        <w:pStyle w:val="CETBodytext"/>
      </w:pPr>
      <w:r>
        <w:t>In this work, a simulation-based process integration strategy was developed in Aspen HYSYS for the valorization of a CO</w:t>
      </w:r>
      <w:r>
        <w:rPr>
          <w:rFonts w:ascii="Cambria Math" w:hAnsi="Cambria Math" w:cs="Cambria Math"/>
        </w:rPr>
        <w:t>₂</w:t>
      </w:r>
      <w:r>
        <w:t>-rich acid gas stream. The process was divided into three connected sections: rectification, sulfur recovery, and methanation. The feed composition was based on industrial acid gas data obtained from the Shurtan Gas Chemical Complex</w:t>
      </w:r>
      <w:r w:rsidR="001B501D">
        <w:t xml:space="preserve"> (SGCC)</w:t>
      </w:r>
      <w:r>
        <w:t>, where CO</w:t>
      </w:r>
      <w:r>
        <w:rPr>
          <w:rFonts w:ascii="Cambria Math" w:hAnsi="Cambria Math" w:cs="Cambria Math"/>
        </w:rPr>
        <w:t>₂</w:t>
      </w:r>
      <w:r>
        <w:t xml:space="preserve"> was the dominant component and H</w:t>
      </w:r>
      <w:r>
        <w:rPr>
          <w:rFonts w:ascii="Cambria Math" w:hAnsi="Cambria Math" w:cs="Cambria Math"/>
        </w:rPr>
        <w:t>₂</w:t>
      </w:r>
      <w:r>
        <w:t>S was present as the recoverable sulfur-bearing fraction</w:t>
      </w:r>
      <w:r w:rsidR="00664E27">
        <w:t xml:space="preserve"> </w:t>
      </w:r>
      <w:r w:rsidR="00F92002">
        <w:fldChar w:fldCharType="begin"/>
      </w:r>
      <w:r w:rsidR="00F92002">
        <w:instrText xml:space="preserve"> ADDIN ZOTERO_ITEM CSL_CITATION {"citationID":"KgpM3trd","properties":{"formattedCitation":"(Eshmurodov, 2026)","plainCitation":"(Eshmurodov, 2026)","noteIndex":0},"citationItems":[{"id":955,"uris":["http://zotero.org/users/17627094/items/JLZSJBN6"],"itemData":{"id":955,"type":"document","genre":"Technical Assignment","publisher":"Shurtan Gas Chemical Complex","publisher-place":"Uzbekistan","title":"Technical Assignment for the Project on Developing a Technological Methodology for Separating CO</w:instrText>
      </w:r>
      <w:r w:rsidR="00F92002">
        <w:rPr>
          <w:rFonts w:ascii="Cambria Math" w:hAnsi="Cambria Math" w:cs="Cambria Math"/>
        </w:rPr>
        <w:instrText>₂</w:instrText>
      </w:r>
      <w:r w:rsidR="00F92002">
        <w:instrText xml:space="preserve"> from Acid Gases Generated in the Production Processes of Shurtan Gas Chemical Complex LLC","author":[{"family":"Eshmurodov","given":"Shokir"}],"issued":{"date-parts":[["2026"]]}}}],"schema":"https://github.com/citation-style-language/schema/raw/master/csl-citation.json"} </w:instrText>
      </w:r>
      <w:r w:rsidR="00F92002">
        <w:fldChar w:fldCharType="separate"/>
      </w:r>
      <w:r w:rsidR="00F92002" w:rsidRPr="00F92002">
        <w:rPr>
          <w:rFonts w:cs="Arial"/>
        </w:rPr>
        <w:t>(Eshmurodov, 2026)</w:t>
      </w:r>
      <w:r w:rsidR="00F92002">
        <w:fldChar w:fldCharType="end"/>
      </w:r>
      <w:r>
        <w:t>.</w:t>
      </w:r>
    </w:p>
    <w:p w14:paraId="1C0E6C1D" w14:textId="75A1C1CD" w:rsidR="00660A62" w:rsidRDefault="00660A62" w:rsidP="00660A62">
      <w:pPr>
        <w:pStyle w:val="CETBodytext"/>
      </w:pPr>
      <w:r>
        <w:t>For the rectification section, the Peng–Robinson equation of state</w:t>
      </w:r>
      <w:r w:rsidR="00664E27">
        <w:t xml:space="preserve"> </w:t>
      </w:r>
      <w:r w:rsidR="00F92002">
        <w:fldChar w:fldCharType="begin"/>
      </w:r>
      <w:r w:rsidR="00F92002">
        <w:instrText xml:space="preserve"> ADDIN ZOTERO_ITEM CSL_CITATION {"citationID":"5yQrhTdH","properties":{"formattedCitation":"(Peng &amp; Robinson, 1976)","plainCitation":"(Peng &amp; Robinson, 1976)","noteIndex":0},"citationItems":[{"id":835,"uris":["http://zotero.org/users/17627094/items/ZQPWR32M"],"itemData":{"id":835,"type":"article-journal","container-title":"Industrial &amp; Engineering Chemistry Fundamentals","DOI":"10.1021/i160057a011","ISSN":"0196-4313, 1541-4833","issue":"1","journalAbbreviation":"Ind. Eng. Chem. Fund.","language":"en","page":"59-64","source":"DOI.org (Crossref)","title":"A New Two-Constant Equation of State","volume":"15","author":[{"family":"Peng","given":"Ding-Yu"},{"family":"Robinson","given":"Donald B."}],"issued":{"date-parts":[["1976",2]]}}}],"schema":"https://github.com/citation-style-language/schema/raw/master/csl-citation.json"} </w:instrText>
      </w:r>
      <w:r w:rsidR="00F92002">
        <w:fldChar w:fldCharType="separate"/>
      </w:r>
      <w:r w:rsidR="00F92002" w:rsidRPr="00F92002">
        <w:rPr>
          <w:rFonts w:cs="Arial"/>
        </w:rPr>
        <w:t>(Peng &amp; Robinson, 1976)</w:t>
      </w:r>
      <w:r w:rsidR="00F92002">
        <w:fldChar w:fldCharType="end"/>
      </w:r>
      <w:r>
        <w:t xml:space="preserve"> was selected as the thermodynamic package because it is widely used for vapor–liquid equilibrium calculations in acid gas and hydrocarbon-containing systems. The separation column was modeled as an equilibrium-stage distillation column. The objective of this section was to produce a high-purity CO</w:t>
      </w:r>
      <w:r>
        <w:rPr>
          <w:rFonts w:ascii="Cambria Math" w:hAnsi="Cambria Math" w:cs="Cambria Math"/>
        </w:rPr>
        <w:t>₂</w:t>
      </w:r>
      <w:r>
        <w:t>-rich distillate and an H</w:t>
      </w:r>
      <w:r>
        <w:rPr>
          <w:rFonts w:ascii="Cambria Math" w:hAnsi="Cambria Math" w:cs="Cambria Math"/>
        </w:rPr>
        <w:t>₂</w:t>
      </w:r>
      <w:r>
        <w:t xml:space="preserve">S-enriched bottom stream suitable for downstream sulfur recovery. The use of process simulation to identify favorable operating conditions follows the same general Aspen-based methodology commonly used in integrated separation and reaction studies. </w:t>
      </w:r>
    </w:p>
    <w:p w14:paraId="70566528" w14:textId="77777777" w:rsidR="00660A62" w:rsidRDefault="00660A62" w:rsidP="00660A62">
      <w:pPr>
        <w:pStyle w:val="CETBodytext"/>
      </w:pPr>
      <w:r>
        <w:t>The sulfur recovery section was represented by a Claus-type process train including acid gas conditioning, a thermal reaction furnace, a waste heat recovery section, catalytic conversion stages, sulfur condensers, and a final incineration step. This structure is consistent with conventional sulfur recovery practice, where H</w:t>
      </w:r>
      <w:r>
        <w:rPr>
          <w:rFonts w:ascii="Cambria Math" w:hAnsi="Cambria Math" w:cs="Cambria Math"/>
        </w:rPr>
        <w:t>₂</w:t>
      </w:r>
      <w:r>
        <w:t xml:space="preserve">S is partially oxidized in the thermal stage and then converted to elemental sulfur through successive catalytic reaction and sulfur condensation stages. Such process configurations are also standard in industrial sulfur recovery engineering and simulation-oriented Claus studies. </w:t>
      </w:r>
    </w:p>
    <w:p w14:paraId="3D739A74" w14:textId="77777777" w:rsidR="00660A62" w:rsidRDefault="00660A62" w:rsidP="00660A62">
      <w:pPr>
        <w:pStyle w:val="CETBodytext"/>
      </w:pPr>
      <w:r>
        <w:t>The purified CO</w:t>
      </w:r>
      <w:r>
        <w:rPr>
          <w:rFonts w:ascii="Cambria Math" w:hAnsi="Cambria Math" w:cs="Cambria Math"/>
        </w:rPr>
        <w:t>₂</w:t>
      </w:r>
      <w:r>
        <w:t>-rich distillate from the rectification column was sent to a fixed-bed plug flow reactor for methanation. The methanation reaction was modeled according to the stoichiometric equation:</w:t>
      </w:r>
    </w:p>
    <w:p w14:paraId="16F935C6" w14:textId="48243951" w:rsidR="00660A62" w:rsidRDefault="00660A62" w:rsidP="008B7706">
      <w:pPr>
        <w:pStyle w:val="CETBodytext"/>
        <w:spacing w:before="120" w:after="120"/>
        <w:jc w:val="center"/>
      </w:pPr>
      <m:oMathPara>
        <m:oMath>
          <m:r>
            <w:rPr>
              <w:rFonts w:ascii="Cambria Math" w:hAnsi="Cambria Math"/>
            </w:rPr>
            <m:t>C</m:t>
          </m:r>
          <m:sSub>
            <m:sSubPr>
              <m:ctrlPr>
                <w:rPr>
                  <w:rFonts w:ascii="Cambria Math" w:hAnsi="Cambria Math"/>
                  <w:i/>
                </w:rPr>
              </m:ctrlPr>
            </m:sSubPr>
            <m:e>
              <m:r>
                <w:rPr>
                  <w:rFonts w:ascii="Cambria Math" w:hAnsi="Cambria Math"/>
                </w:rPr>
                <m:t>O</m:t>
              </m:r>
            </m:e>
            <m:sub>
              <m:r>
                <w:rPr>
                  <w:rFonts w:ascii="Cambria Math" w:hAnsi="Cambria Math"/>
                </w:rPr>
                <m:t>2</m:t>
              </m:r>
            </m:sub>
          </m:sSub>
          <m:r>
            <w:rPr>
              <w:rFonts w:ascii="Cambria Math" w:hAnsi="Cambria Math"/>
            </w:rPr>
            <m:t>+4</m:t>
          </m:r>
          <m:sSub>
            <m:sSubPr>
              <m:ctrlPr>
                <w:rPr>
                  <w:rFonts w:ascii="Cambria Math" w:hAnsi="Cambria Math"/>
                  <w:i/>
                </w:rPr>
              </m:ctrlPr>
            </m:sSubPr>
            <m:e>
              <m:r>
                <w:rPr>
                  <w:rFonts w:ascii="Cambria Math" w:hAnsi="Cambria Math"/>
                </w:rPr>
                <m:t>H</m:t>
              </m:r>
            </m:e>
            <m:sub>
              <m:r>
                <w:rPr>
                  <w:rFonts w:ascii="Cambria Math" w:hAnsi="Cambria Math"/>
                </w:rPr>
                <m:t>2</m:t>
              </m:r>
            </m:sub>
          </m:sSub>
          <m:r>
            <w:rPr>
              <w:rFonts w:ascii="Cambria Math" w:hAnsi="Cambria Math"/>
            </w:rPr>
            <m:t>→C</m:t>
          </m:r>
          <m:sSub>
            <m:sSubPr>
              <m:ctrlPr>
                <w:rPr>
                  <w:rFonts w:ascii="Cambria Math" w:hAnsi="Cambria Math"/>
                  <w:i/>
                </w:rPr>
              </m:ctrlPr>
            </m:sSubPr>
            <m:e>
              <m:r>
                <w:rPr>
                  <w:rFonts w:ascii="Cambria Math" w:hAnsi="Cambria Math"/>
                </w:rPr>
                <m:t>H</m:t>
              </m:r>
            </m:e>
            <m:sub>
              <m:r>
                <w:rPr>
                  <w:rFonts w:ascii="Cambria Math" w:hAnsi="Cambria Math"/>
                </w:rPr>
                <m:t>4</m:t>
              </m:r>
            </m:sub>
          </m:sSub>
          <m:r>
            <w:rPr>
              <w:rFonts w:ascii="Cambria Math" w:hAnsi="Cambria Math"/>
            </w:rPr>
            <m:t>+2</m:t>
          </m:r>
          <m:sSub>
            <m:sSubPr>
              <m:ctrlPr>
                <w:rPr>
                  <w:rFonts w:ascii="Cambria Math" w:hAnsi="Cambria Math"/>
                  <w:i/>
                </w:rPr>
              </m:ctrlPr>
            </m:sSubPr>
            <m:e>
              <m:r>
                <w:rPr>
                  <w:rFonts w:ascii="Cambria Math" w:hAnsi="Cambria Math"/>
                </w:rPr>
                <m:t>H</m:t>
              </m:r>
            </m:e>
            <m:sub>
              <m:r>
                <w:rPr>
                  <w:rFonts w:ascii="Cambria Math" w:hAnsi="Cambria Math"/>
                </w:rPr>
                <m:t>2</m:t>
              </m:r>
            </m:sub>
          </m:sSub>
          <m:r>
            <w:rPr>
              <w:rFonts w:ascii="Cambria Math" w:hAnsi="Cambria Math"/>
            </w:rPr>
            <m:t>O</m:t>
          </m:r>
        </m:oMath>
      </m:oMathPara>
    </w:p>
    <w:p w14:paraId="5436D977" w14:textId="5A182FC3" w:rsidR="00453E24" w:rsidRPr="00B57B36" w:rsidRDefault="001B501D" w:rsidP="00660A62">
      <w:pPr>
        <w:pStyle w:val="CETBodytext"/>
      </w:pPr>
      <w:r w:rsidRPr="001B501D">
        <w:rPr>
          <w:lang w:val="en-GB"/>
        </w:rPr>
        <w:t>The purified CO</w:t>
      </w:r>
      <w:r w:rsidRPr="001B501D">
        <w:rPr>
          <w:rFonts w:ascii="Cambria Math" w:hAnsi="Cambria Math" w:cs="Cambria Math"/>
          <w:lang w:val="en-GB"/>
        </w:rPr>
        <w:t>₂</w:t>
      </w:r>
      <w:r w:rsidRPr="001B501D">
        <w:rPr>
          <w:lang w:val="en-GB"/>
        </w:rPr>
        <w:t>-rich distillate from the rectification column was sent to a fixed-bed plug flow reactor for methanation. For the methanation section, hydrogen was considered to be supplied from the excess H</w:t>
      </w:r>
      <w:r w:rsidRPr="001B501D">
        <w:rPr>
          <w:rFonts w:ascii="Cambria Math" w:hAnsi="Cambria Math" w:cs="Cambria Math"/>
          <w:lang w:val="en-GB"/>
        </w:rPr>
        <w:t>₂</w:t>
      </w:r>
      <w:r w:rsidRPr="001B501D">
        <w:rPr>
          <w:lang w:val="en-GB"/>
        </w:rPr>
        <w:t xml:space="preserve"> generated within the ethane-to-ethylene production process at the </w:t>
      </w:r>
      <w:r>
        <w:rPr>
          <w:lang w:val="en-GB"/>
        </w:rPr>
        <w:t>SGCC</w:t>
      </w:r>
      <w:r w:rsidRPr="001B501D">
        <w:rPr>
          <w:lang w:val="en-GB"/>
        </w:rPr>
        <w:t>. This internal hydrogen source was selected to avoid introducing an external H</w:t>
      </w:r>
      <w:r w:rsidRPr="001B501D">
        <w:rPr>
          <w:rFonts w:ascii="Cambria Math" w:hAnsi="Cambria Math" w:cs="Cambria Math"/>
          <w:lang w:val="en-GB"/>
        </w:rPr>
        <w:t>₂</w:t>
      </w:r>
      <w:r w:rsidRPr="001B501D">
        <w:rPr>
          <w:lang w:val="en-GB"/>
        </w:rPr>
        <w:t xml:space="preserve"> supply assumption and to strengthen the site-integration concept. The actual hydrogen availability therefore represents a key constraint for full-scale implementation. The reactor performance was specified using experimentally determined parameters, with a CO</w:t>
      </w:r>
      <w:r w:rsidRPr="001B501D">
        <w:rPr>
          <w:rFonts w:ascii="Cambria Math" w:hAnsi="Cambria Math" w:cs="Cambria Math"/>
          <w:lang w:val="en-GB"/>
        </w:rPr>
        <w:t>₂</w:t>
      </w:r>
      <w:r w:rsidRPr="001B501D">
        <w:rPr>
          <w:lang w:val="en-GB"/>
        </w:rPr>
        <w:t xml:space="preserve"> conversion of approximately 80% and nearly complete selectivity toward CH</w:t>
      </w:r>
      <w:r w:rsidRPr="001B501D">
        <w:rPr>
          <w:rFonts w:ascii="Cambria Math" w:hAnsi="Cambria Math" w:cs="Cambria Math"/>
          <w:lang w:val="en-GB"/>
        </w:rPr>
        <w:t>₄</w:t>
      </w:r>
      <w:r w:rsidRPr="001B501D">
        <w:rPr>
          <w:lang w:val="en-GB"/>
        </w:rPr>
        <w:t>. These experimentally derived values were implemented as fixed reactor-performance inputs in the Aspen HYSYS process-integration model rather than being predicted from a detailed kinetic model. Therefore, the methanation section was intended to evaluate the process-level conversion potential of the purified CO</w:t>
      </w:r>
      <w:r w:rsidRPr="001B501D">
        <w:rPr>
          <w:rFonts w:ascii="Cambria Math" w:hAnsi="Cambria Math" w:cs="Cambria Math"/>
          <w:lang w:val="en-GB"/>
        </w:rPr>
        <w:t>₂</w:t>
      </w:r>
      <w:r w:rsidRPr="001B501D">
        <w:rPr>
          <w:lang w:val="en-GB"/>
        </w:rPr>
        <w:t xml:space="preserve"> stream, while detailed catalyst kinetics and reactor-scale transport phenomena were outside the scope of the present study.</w:t>
      </w:r>
    </w:p>
    <w:p w14:paraId="677EBFF0" w14:textId="7AFB90FB" w:rsidR="00600535" w:rsidRPr="00B57B36" w:rsidRDefault="00F25D6C" w:rsidP="00600535">
      <w:pPr>
        <w:pStyle w:val="CETHeading1"/>
        <w:tabs>
          <w:tab w:val="clear" w:pos="360"/>
          <w:tab w:val="right" w:pos="7100"/>
        </w:tabs>
        <w:jc w:val="both"/>
        <w:rPr>
          <w:lang w:val="en-GB"/>
        </w:rPr>
      </w:pPr>
      <w:r w:rsidRPr="00F25D6C">
        <w:rPr>
          <w:lang w:val="en-GB"/>
        </w:rPr>
        <w:lastRenderedPageBreak/>
        <w:t>Process description</w:t>
      </w:r>
    </w:p>
    <w:p w14:paraId="48C89923" w14:textId="77777777" w:rsidR="00F25D6C" w:rsidRDefault="00F25D6C" w:rsidP="00F25D6C">
      <w:pPr>
        <w:rPr>
          <w:rFonts w:cs="Arial"/>
          <w:szCs w:val="18"/>
          <w:lang w:val="en-US"/>
        </w:rPr>
      </w:pPr>
      <w:r w:rsidRPr="00F25D6C">
        <w:rPr>
          <w:rFonts w:cs="Arial"/>
          <w:szCs w:val="18"/>
          <w:lang w:val="en-US"/>
        </w:rPr>
        <w:t>Figure 1 illustrates the proposed integrated process for the valorization of the CO</w:t>
      </w:r>
      <w:r w:rsidRPr="00F25D6C">
        <w:rPr>
          <w:rFonts w:ascii="Cambria Math" w:hAnsi="Cambria Math" w:cs="Cambria Math"/>
          <w:szCs w:val="18"/>
          <w:lang w:val="en-US"/>
        </w:rPr>
        <w:t>₂</w:t>
      </w:r>
      <w:r w:rsidRPr="00F25D6C">
        <w:rPr>
          <w:rFonts w:cs="Arial"/>
          <w:szCs w:val="18"/>
          <w:lang w:val="en-US"/>
        </w:rPr>
        <w:t>-rich acid gas stream. The overall system consists of three main subsections: (i) rectification of the acid gas, (ii) sulfur recovery from the H</w:t>
      </w:r>
      <w:r w:rsidRPr="00F25D6C">
        <w:rPr>
          <w:rFonts w:ascii="Cambria Math" w:hAnsi="Cambria Math" w:cs="Cambria Math"/>
          <w:szCs w:val="18"/>
          <w:lang w:val="en-US"/>
        </w:rPr>
        <w:t>₂</w:t>
      </w:r>
      <w:r w:rsidRPr="00F25D6C">
        <w:rPr>
          <w:rFonts w:cs="Arial"/>
          <w:szCs w:val="18"/>
          <w:lang w:val="en-US"/>
        </w:rPr>
        <w:t>S-rich bottom stream, and (iii) catalytic methanation of the CO</w:t>
      </w:r>
      <w:r w:rsidRPr="00F25D6C">
        <w:rPr>
          <w:rFonts w:ascii="Cambria Math" w:hAnsi="Cambria Math" w:cs="Cambria Math"/>
          <w:szCs w:val="18"/>
          <w:lang w:val="en-US"/>
        </w:rPr>
        <w:t>₂</w:t>
      </w:r>
      <w:r w:rsidRPr="00F25D6C">
        <w:rPr>
          <w:rFonts w:cs="Arial"/>
          <w:szCs w:val="18"/>
          <w:lang w:val="en-US"/>
        </w:rPr>
        <w:t>-rich distillate.</w:t>
      </w:r>
    </w:p>
    <w:p w14:paraId="6F472ACE" w14:textId="77777777" w:rsidR="00F25D6C" w:rsidRPr="00F25D6C" w:rsidRDefault="00F25D6C" w:rsidP="00F25D6C">
      <w:pPr>
        <w:rPr>
          <w:rFonts w:cs="Arial"/>
          <w:szCs w:val="18"/>
          <w:lang w:val="en-US"/>
        </w:rPr>
      </w:pPr>
      <w:r w:rsidRPr="00F25D6C">
        <w:rPr>
          <w:rFonts w:cs="Arial"/>
          <w:szCs w:val="18"/>
          <w:lang w:val="en-US"/>
        </w:rPr>
        <w:t>In the first section, the industrial acid gas stream is fed to a distillation column. Because the feed is highly enriched in CO</w:t>
      </w:r>
      <w:r w:rsidRPr="00F25D6C">
        <w:rPr>
          <w:rFonts w:ascii="Cambria Math" w:hAnsi="Cambria Math" w:cs="Cambria Math"/>
          <w:szCs w:val="18"/>
          <w:lang w:val="en-US"/>
        </w:rPr>
        <w:t>₂</w:t>
      </w:r>
      <w:r w:rsidRPr="00F25D6C">
        <w:rPr>
          <w:rFonts w:cs="Arial"/>
          <w:szCs w:val="18"/>
          <w:lang w:val="en-US"/>
        </w:rPr>
        <w:t>, direct routing to a sulfur recovery unit would be inefficient. Therefore, the column is used as a preliminary upgrading step to split the stream into two more valuable fractions. The overhead product is a CO</w:t>
      </w:r>
      <w:r w:rsidRPr="00F25D6C">
        <w:rPr>
          <w:rFonts w:ascii="Cambria Math" w:hAnsi="Cambria Math" w:cs="Cambria Math"/>
          <w:szCs w:val="18"/>
          <w:lang w:val="en-US"/>
        </w:rPr>
        <w:t>₂</w:t>
      </w:r>
      <w:r w:rsidRPr="00F25D6C">
        <w:rPr>
          <w:rFonts w:cs="Arial"/>
          <w:szCs w:val="18"/>
          <w:lang w:val="en-US"/>
        </w:rPr>
        <w:t>-rich stream with very high purity, while the bottom product is enriched in H</w:t>
      </w:r>
      <w:r w:rsidRPr="00F25D6C">
        <w:rPr>
          <w:rFonts w:ascii="Cambria Math" w:hAnsi="Cambria Math" w:cs="Cambria Math"/>
          <w:szCs w:val="18"/>
          <w:lang w:val="en-US"/>
        </w:rPr>
        <w:t>₂</w:t>
      </w:r>
      <w:r w:rsidRPr="00F25D6C">
        <w:rPr>
          <w:rFonts w:cs="Arial"/>
          <w:szCs w:val="18"/>
          <w:lang w:val="en-US"/>
        </w:rPr>
        <w:t>S. This separation strategy is particularly relevant for acid gas streams in which sulfur recovery and carbon utilization must be treated simultaneously rather than independently.</w:t>
      </w:r>
    </w:p>
    <w:p w14:paraId="3953ECE7" w14:textId="77777777" w:rsidR="00F25D6C" w:rsidRPr="00F25D6C" w:rsidRDefault="00F25D6C" w:rsidP="00F25D6C">
      <w:pPr>
        <w:rPr>
          <w:rFonts w:cs="Arial"/>
          <w:szCs w:val="18"/>
          <w:lang w:val="en-US"/>
        </w:rPr>
      </w:pPr>
      <w:r w:rsidRPr="00F25D6C">
        <w:rPr>
          <w:rFonts w:cs="Arial"/>
          <w:szCs w:val="18"/>
          <w:lang w:val="en-US"/>
        </w:rPr>
        <w:t>The H</w:t>
      </w:r>
      <w:r w:rsidRPr="00F25D6C">
        <w:rPr>
          <w:rFonts w:ascii="Cambria Math" w:hAnsi="Cambria Math" w:cs="Cambria Math"/>
          <w:szCs w:val="18"/>
          <w:lang w:val="en-US"/>
        </w:rPr>
        <w:t>₂</w:t>
      </w:r>
      <w:r w:rsidRPr="00F25D6C">
        <w:rPr>
          <w:rFonts w:cs="Arial"/>
          <w:szCs w:val="18"/>
          <w:lang w:val="en-US"/>
        </w:rPr>
        <w:t>S-rich bottom product is subsequently routed to the sulfur recovery section. In this block, the acid gas is first conditioned and then introduced into a reaction furnace, where a portion of H</w:t>
      </w:r>
      <w:r w:rsidRPr="00F25D6C">
        <w:rPr>
          <w:rFonts w:ascii="Cambria Math" w:hAnsi="Cambria Math" w:cs="Cambria Math"/>
          <w:szCs w:val="18"/>
          <w:lang w:val="en-US"/>
        </w:rPr>
        <w:t>₂</w:t>
      </w:r>
      <w:r w:rsidRPr="00F25D6C">
        <w:rPr>
          <w:rFonts w:cs="Arial"/>
          <w:szCs w:val="18"/>
          <w:lang w:val="en-US"/>
        </w:rPr>
        <w:t xml:space="preserve">S is thermally oxidized. The furnace effluent passes through a waste heat recovery section and is further processed in catalytic Claus stages with interstage sulfur condensation. In each condenser, elemental sulfur is removed from the gas phase, which shifts the equilibrium toward further sulfur formation in the downstream catalytic reactors. The remaining tail gas is finally directed to an incineration unit. This process arrangement is consistent with standard Claus sulfur recovery philosophy and is suitable for transforming the sulfur-bearing fraction into liquid sulfur. </w:t>
      </w:r>
    </w:p>
    <w:p w14:paraId="70B51DDA" w14:textId="77777777" w:rsidR="00F25D6C" w:rsidRPr="00F25D6C" w:rsidRDefault="00F25D6C" w:rsidP="00F25D6C">
      <w:pPr>
        <w:rPr>
          <w:rFonts w:cs="Arial"/>
          <w:szCs w:val="18"/>
          <w:lang w:val="en-US"/>
        </w:rPr>
      </w:pPr>
    </w:p>
    <w:p w14:paraId="52A7B7BE" w14:textId="77777777" w:rsidR="00F25D6C" w:rsidRPr="00F25D6C" w:rsidRDefault="00F25D6C" w:rsidP="00F25D6C">
      <w:pPr>
        <w:jc w:val="center"/>
        <w:rPr>
          <w:rFonts w:cs="Arial"/>
          <w:szCs w:val="18"/>
          <w:lang w:val="en-US"/>
        </w:rPr>
      </w:pPr>
      <w:r w:rsidRPr="00F25D6C">
        <w:rPr>
          <w:rFonts w:cs="Arial"/>
          <w:noProof/>
          <w:szCs w:val="18"/>
          <w:lang w:eastAsia="en-GB"/>
        </w:rPr>
        <w:drawing>
          <wp:inline distT="0" distB="0" distL="0" distR="0" wp14:anchorId="00E374BF" wp14:editId="02C58868">
            <wp:extent cx="3296240" cy="2194087"/>
            <wp:effectExtent l="0" t="0" r="0" b="0"/>
            <wp:docPr id="184816729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15404" cy="2206843"/>
                    </a:xfrm>
                    <a:prstGeom prst="rect">
                      <a:avLst/>
                    </a:prstGeom>
                    <a:noFill/>
                    <a:ln>
                      <a:noFill/>
                    </a:ln>
                  </pic:spPr>
                </pic:pic>
              </a:graphicData>
            </a:graphic>
          </wp:inline>
        </w:drawing>
      </w:r>
    </w:p>
    <w:p w14:paraId="0740E0AC" w14:textId="77777777" w:rsidR="00F25D6C" w:rsidRPr="00F25D6C" w:rsidRDefault="00F25D6C" w:rsidP="001C2117">
      <w:pPr>
        <w:spacing w:before="240" w:after="240"/>
        <w:rPr>
          <w:rFonts w:cs="Arial"/>
          <w:i/>
          <w:iCs/>
          <w:szCs w:val="18"/>
          <w:lang w:val="en-US"/>
        </w:rPr>
      </w:pPr>
      <w:r w:rsidRPr="00F25D6C">
        <w:rPr>
          <w:rFonts w:cs="Arial"/>
          <w:i/>
          <w:iCs/>
          <w:szCs w:val="18"/>
          <w:lang w:val="en-US"/>
        </w:rPr>
        <w:t>Figure 1. Proposed integrated process for rectification of the CO</w:t>
      </w:r>
      <w:r w:rsidRPr="00F25D6C">
        <w:rPr>
          <w:rFonts w:ascii="Cambria Math" w:hAnsi="Cambria Math" w:cs="Cambria Math"/>
          <w:i/>
          <w:iCs/>
          <w:szCs w:val="18"/>
          <w:lang w:val="en-US"/>
        </w:rPr>
        <w:t>₂</w:t>
      </w:r>
      <w:r w:rsidRPr="00F25D6C">
        <w:rPr>
          <w:rFonts w:cs="Arial"/>
          <w:i/>
          <w:iCs/>
          <w:szCs w:val="18"/>
          <w:lang w:val="en-US"/>
        </w:rPr>
        <w:t>-rich acid gas stream, sulfur recovery and methanation.</w:t>
      </w:r>
    </w:p>
    <w:p w14:paraId="7FD42486" w14:textId="603F8BCF" w:rsidR="00600535" w:rsidRDefault="00F25D6C" w:rsidP="00F25D6C">
      <w:pPr>
        <w:pStyle w:val="CETListbullets"/>
        <w:ind w:left="0" w:firstLine="0"/>
        <w:rPr>
          <w:rFonts w:cs="Arial"/>
          <w:szCs w:val="18"/>
          <w:lang w:val="en-US"/>
        </w:rPr>
      </w:pPr>
      <w:r w:rsidRPr="00F25D6C">
        <w:rPr>
          <w:rFonts w:cs="Arial"/>
          <w:szCs w:val="18"/>
          <w:lang w:val="en-US"/>
        </w:rPr>
        <w:t>The CO</w:t>
      </w:r>
      <w:r w:rsidRPr="00F25D6C">
        <w:rPr>
          <w:rFonts w:ascii="Cambria Math" w:hAnsi="Cambria Math" w:cs="Cambria Math"/>
          <w:szCs w:val="18"/>
          <w:lang w:val="en-US"/>
        </w:rPr>
        <w:t>₂</w:t>
      </w:r>
      <w:r w:rsidRPr="00F25D6C">
        <w:rPr>
          <w:rFonts w:cs="Arial"/>
          <w:szCs w:val="18"/>
          <w:lang w:val="en-US"/>
        </w:rPr>
        <w:t>-rich distillate from the rectification column is sent to a fixed-bed plug flow reactor. Hydrogen is supplied as a reactant, and the purified carbon dioxide is converted into methane and water through catalytic methanation. In this way, the carbon-rich fraction of the acid gas is not treated as a waste stream but as a feedstock for synthetic fuel production. This integrated concept transforms a single low-value industrial acid gas into two value-added product routes: elemental sulfur and synthetic methane. Similar to other Aspen-based integrated process studies, the present configuration uses process simulation as a practical tool to examine separation efficiency, downstream conversion potential, and the overall feasibility of a combined upgrading route.</w:t>
      </w:r>
    </w:p>
    <w:p w14:paraId="1579EC8A" w14:textId="77777777" w:rsidR="00F25D6C" w:rsidRPr="00F25D6C" w:rsidRDefault="00F25D6C" w:rsidP="00F25D6C">
      <w:pPr>
        <w:spacing w:before="240" w:after="120"/>
        <w:rPr>
          <w:rFonts w:cs="Arial"/>
          <w:b/>
          <w:bCs/>
          <w:szCs w:val="18"/>
          <w:lang w:val="en-US"/>
        </w:rPr>
      </w:pPr>
      <w:r w:rsidRPr="00F25D6C">
        <w:rPr>
          <w:rFonts w:cs="Arial"/>
          <w:b/>
          <w:bCs/>
          <w:szCs w:val="18"/>
          <w:lang w:val="en-US"/>
        </w:rPr>
        <w:t>4. Results and Discussion</w:t>
      </w:r>
    </w:p>
    <w:p w14:paraId="017420C2" w14:textId="77777777" w:rsidR="00F25D6C" w:rsidRDefault="00F25D6C" w:rsidP="00F25D6C">
      <w:pPr>
        <w:rPr>
          <w:rFonts w:cs="Arial"/>
          <w:szCs w:val="18"/>
          <w:lang w:val="en-US"/>
        </w:rPr>
      </w:pPr>
      <w:r w:rsidRPr="00F25D6C">
        <w:rPr>
          <w:rFonts w:cs="Arial"/>
          <w:szCs w:val="18"/>
          <w:lang w:val="en-US"/>
        </w:rPr>
        <w:t>The industrial acid gas stream used in this study was highly enriched with carbon dioxide. Based on the plant data, the feed contained 96.55–96.94% CO</w:t>
      </w:r>
      <w:r w:rsidRPr="00F25D6C">
        <w:rPr>
          <w:rFonts w:ascii="Cambria Math" w:hAnsi="Cambria Math" w:cs="Cambria Math"/>
          <w:szCs w:val="18"/>
          <w:lang w:val="en-US"/>
        </w:rPr>
        <w:t>₂</w:t>
      </w:r>
      <w:r w:rsidRPr="00F25D6C">
        <w:rPr>
          <w:rFonts w:cs="Arial"/>
          <w:szCs w:val="18"/>
          <w:lang w:val="en-US"/>
        </w:rPr>
        <w:t xml:space="preserve"> and 2.61–3.37% H</w:t>
      </w:r>
      <w:r w:rsidRPr="00F25D6C">
        <w:rPr>
          <w:rFonts w:ascii="Cambria Math" w:hAnsi="Cambria Math" w:cs="Cambria Math"/>
          <w:szCs w:val="18"/>
          <w:lang w:val="en-US"/>
        </w:rPr>
        <w:t>₂</w:t>
      </w:r>
      <w:r w:rsidRPr="00F25D6C">
        <w:rPr>
          <w:rFonts w:cs="Arial"/>
          <w:szCs w:val="18"/>
          <w:lang w:val="en-US"/>
        </w:rPr>
        <w:t>S, together with small amounts of CH</w:t>
      </w:r>
      <w:r w:rsidRPr="00F25D6C">
        <w:rPr>
          <w:rFonts w:ascii="Cambria Math" w:hAnsi="Cambria Math" w:cs="Cambria Math"/>
          <w:szCs w:val="18"/>
          <w:lang w:val="en-US"/>
        </w:rPr>
        <w:t>₄</w:t>
      </w:r>
      <w:r w:rsidRPr="00F25D6C">
        <w:rPr>
          <w:rFonts w:cs="Arial"/>
          <w:szCs w:val="18"/>
          <w:lang w:val="en-US"/>
        </w:rPr>
        <w:t>, N2, and trace heavier hydrocarbons. This composition indicates that the stream is not a conventional sulfur-rich acid gas, but rather a CO</w:t>
      </w:r>
      <w:r w:rsidRPr="00F25D6C">
        <w:rPr>
          <w:rFonts w:ascii="Cambria Math" w:hAnsi="Cambria Math" w:cs="Cambria Math"/>
          <w:szCs w:val="18"/>
          <w:lang w:val="en-US"/>
        </w:rPr>
        <w:t>₂</w:t>
      </w:r>
      <w:r w:rsidRPr="00F25D6C">
        <w:rPr>
          <w:rFonts w:cs="Arial"/>
          <w:szCs w:val="18"/>
          <w:lang w:val="en-US"/>
        </w:rPr>
        <w:t>-rich acid gas. Therefore, direct feeding of the untreated stream to the sulfur recovery section would be inefficient because the sulfur-bearing fraction is strongly diluted.</w:t>
      </w:r>
    </w:p>
    <w:p w14:paraId="4877A4EF" w14:textId="77777777" w:rsidR="008B7706" w:rsidRPr="00F25D6C" w:rsidRDefault="008B7706" w:rsidP="008B7706">
      <w:pPr>
        <w:rPr>
          <w:rFonts w:cs="Arial"/>
          <w:szCs w:val="18"/>
          <w:lang w:val="en-US"/>
        </w:rPr>
      </w:pPr>
      <w:r w:rsidRPr="00F25D6C">
        <w:rPr>
          <w:rFonts w:cs="Arial"/>
          <w:szCs w:val="18"/>
          <w:lang w:val="en-US"/>
        </w:rPr>
        <w:t>The overall process configuration is shown in Figure 1. The acid gas was first sent to a rectification column in order to generate two process-specific streams: a CO</w:t>
      </w:r>
      <w:r w:rsidRPr="00F25D6C">
        <w:rPr>
          <w:rFonts w:ascii="Cambria Math" w:hAnsi="Cambria Math" w:cs="Cambria Math"/>
          <w:szCs w:val="18"/>
          <w:lang w:val="en-US"/>
        </w:rPr>
        <w:t>₂</w:t>
      </w:r>
      <w:r w:rsidRPr="00F25D6C">
        <w:rPr>
          <w:rFonts w:cs="Arial"/>
          <w:szCs w:val="18"/>
          <w:lang w:val="en-US"/>
        </w:rPr>
        <w:t>-rich overhead stream for methanation and an H</w:t>
      </w:r>
      <w:r w:rsidRPr="00F25D6C">
        <w:rPr>
          <w:rFonts w:ascii="Cambria Math" w:hAnsi="Cambria Math" w:cs="Cambria Math"/>
          <w:szCs w:val="18"/>
          <w:lang w:val="en-US"/>
        </w:rPr>
        <w:t>₂</w:t>
      </w:r>
      <w:r w:rsidRPr="00F25D6C">
        <w:rPr>
          <w:rFonts w:cs="Arial"/>
          <w:szCs w:val="18"/>
          <w:lang w:val="en-US"/>
        </w:rPr>
        <w:t>S-rich bottom stream for sulfur recovery. Under the selected operating conditions, the column produced a distillate containing 99.32 mol% CO</w:t>
      </w:r>
      <w:r w:rsidRPr="00F25D6C">
        <w:rPr>
          <w:rFonts w:ascii="Cambria Math" w:hAnsi="Cambria Math" w:cs="Cambria Math"/>
          <w:szCs w:val="18"/>
          <w:lang w:val="en-US"/>
        </w:rPr>
        <w:t>₂</w:t>
      </w:r>
      <w:r w:rsidRPr="00F25D6C">
        <w:rPr>
          <w:rFonts w:cs="Arial"/>
          <w:szCs w:val="18"/>
          <w:lang w:val="en-US"/>
        </w:rPr>
        <w:t>, corresponding to 99.72 wt.% CO</w:t>
      </w:r>
      <w:r w:rsidRPr="00F25D6C">
        <w:rPr>
          <w:rFonts w:ascii="Cambria Math" w:hAnsi="Cambria Math" w:cs="Cambria Math"/>
          <w:szCs w:val="18"/>
          <w:lang w:val="en-US"/>
        </w:rPr>
        <w:t>₂</w:t>
      </w:r>
      <w:r w:rsidRPr="00F25D6C">
        <w:rPr>
          <w:rFonts w:cs="Arial"/>
          <w:szCs w:val="18"/>
          <w:lang w:val="en-US"/>
        </w:rPr>
        <w:t xml:space="preserve">, at a total flow rate of 25.8 tons/h. This result confirms that the rectification section was capable of producing a highly purified carbon dioxide stream. In </w:t>
      </w:r>
      <w:r w:rsidRPr="00F25D6C">
        <w:rPr>
          <w:rFonts w:cs="Arial"/>
          <w:szCs w:val="18"/>
          <w:lang w:val="en-US"/>
        </w:rPr>
        <w:lastRenderedPageBreak/>
        <w:t>contrast, the bottom stream was significantly enriched in sulfur species and contained 74.49 wt.% H</w:t>
      </w:r>
      <w:r w:rsidRPr="00F25D6C">
        <w:rPr>
          <w:rFonts w:ascii="Cambria Math" w:hAnsi="Cambria Math" w:cs="Cambria Math"/>
          <w:szCs w:val="18"/>
          <w:lang w:val="en-US"/>
        </w:rPr>
        <w:t>₂</w:t>
      </w:r>
      <w:r w:rsidRPr="00F25D6C">
        <w:rPr>
          <w:rFonts w:cs="Arial"/>
          <w:szCs w:val="18"/>
          <w:lang w:val="en-US"/>
        </w:rPr>
        <w:t>S and 24.83 wt.% CO</w:t>
      </w:r>
      <w:r w:rsidRPr="00F25D6C">
        <w:rPr>
          <w:rFonts w:ascii="Cambria Math" w:hAnsi="Cambria Math" w:cs="Cambria Math"/>
          <w:szCs w:val="18"/>
          <w:lang w:val="en-US"/>
        </w:rPr>
        <w:t>₂</w:t>
      </w:r>
      <w:r w:rsidRPr="00F25D6C">
        <w:rPr>
          <w:rFonts w:cs="Arial"/>
          <w:szCs w:val="18"/>
          <w:lang w:val="en-US"/>
        </w:rPr>
        <w:t>. Thus, the column successfully transformed a single low-value mixed acid gas into two more useful streams.</w:t>
      </w:r>
    </w:p>
    <w:p w14:paraId="6AD6AB54" w14:textId="77777777" w:rsidR="008B7706" w:rsidRPr="00F25D6C" w:rsidRDefault="008B7706" w:rsidP="00F25D6C">
      <w:pPr>
        <w:rPr>
          <w:rFonts w:cs="Arial"/>
          <w:szCs w:val="18"/>
          <w:lang w:val="en-US"/>
        </w:rPr>
      </w:pPr>
    </w:p>
    <w:p w14:paraId="6ECD57C4" w14:textId="77777777" w:rsidR="00F25D6C" w:rsidRPr="00F25D6C" w:rsidRDefault="00F25D6C" w:rsidP="00F25D6C">
      <w:pPr>
        <w:jc w:val="center"/>
        <w:rPr>
          <w:rFonts w:cs="Arial"/>
          <w:szCs w:val="18"/>
          <w:lang w:val="en-US"/>
        </w:rPr>
      </w:pPr>
      <w:r w:rsidRPr="00F25D6C">
        <w:rPr>
          <w:rFonts w:cs="Arial"/>
          <w:noProof/>
          <w:szCs w:val="18"/>
          <w:lang w:eastAsia="en-GB"/>
        </w:rPr>
        <w:drawing>
          <wp:inline distT="0" distB="0" distL="0" distR="0" wp14:anchorId="456D11B1" wp14:editId="161170FF">
            <wp:extent cx="4711700" cy="2172832"/>
            <wp:effectExtent l="0" t="0" r="12700" b="18415"/>
            <wp:docPr id="1444135002" name="Chart 1">
              <a:extLst xmlns:a="http://schemas.openxmlformats.org/drawingml/2006/main">
                <a:ext uri="{FF2B5EF4-FFF2-40B4-BE49-F238E27FC236}">
                  <a16:creationId xmlns:a16="http://schemas.microsoft.com/office/drawing/2014/main" id="{A0563AD4-8695-1F6C-59D5-E50EBF69754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6ACE3A0" w14:textId="77777777" w:rsidR="00F25D6C" w:rsidRPr="00F25D6C" w:rsidRDefault="00F25D6C" w:rsidP="00F25D6C">
      <w:pPr>
        <w:spacing w:before="240" w:after="240"/>
        <w:rPr>
          <w:rFonts w:cs="Arial"/>
          <w:i/>
          <w:iCs/>
          <w:szCs w:val="18"/>
          <w:lang w:val="en-US"/>
        </w:rPr>
      </w:pPr>
      <w:r w:rsidRPr="00F25D6C">
        <w:rPr>
          <w:rFonts w:cs="Arial"/>
          <w:i/>
          <w:iCs/>
          <w:szCs w:val="18"/>
          <w:lang w:val="en-US"/>
        </w:rPr>
        <w:t>Figure 2. Effect of molar reflux ratio on the overhead stream composition in the rectification column, showing the variation of CO</w:t>
      </w:r>
      <w:r w:rsidRPr="00F25D6C">
        <w:rPr>
          <w:rFonts w:ascii="Cambria Math" w:hAnsi="Cambria Math" w:cs="Cambria Math"/>
          <w:i/>
          <w:iCs/>
          <w:szCs w:val="18"/>
          <w:lang w:val="en-US"/>
        </w:rPr>
        <w:t>₂</w:t>
      </w:r>
      <w:r w:rsidRPr="00F25D6C">
        <w:rPr>
          <w:rFonts w:cs="Arial"/>
          <w:i/>
          <w:iCs/>
          <w:szCs w:val="18"/>
          <w:lang w:val="en-US"/>
        </w:rPr>
        <w:t xml:space="preserve"> and H</w:t>
      </w:r>
      <w:r w:rsidRPr="00F25D6C">
        <w:rPr>
          <w:rFonts w:ascii="Cambria Math" w:hAnsi="Cambria Math" w:cs="Cambria Math"/>
          <w:i/>
          <w:iCs/>
          <w:szCs w:val="18"/>
          <w:lang w:val="en-US"/>
        </w:rPr>
        <w:t>₂</w:t>
      </w:r>
      <w:r w:rsidRPr="00F25D6C">
        <w:rPr>
          <w:rFonts w:cs="Arial"/>
          <w:i/>
          <w:iCs/>
          <w:szCs w:val="18"/>
          <w:lang w:val="en-US"/>
        </w:rPr>
        <w:t>S mass fractions in the distillate.</w:t>
      </w:r>
    </w:p>
    <w:p w14:paraId="41A560D8" w14:textId="4E248453" w:rsidR="00F25D6C" w:rsidRPr="00F25D6C" w:rsidRDefault="00F25D6C" w:rsidP="00F25D6C">
      <w:pPr>
        <w:rPr>
          <w:rFonts w:cs="Arial"/>
          <w:szCs w:val="18"/>
          <w:lang w:val="en-US"/>
        </w:rPr>
      </w:pPr>
      <w:r w:rsidRPr="00F25D6C">
        <w:rPr>
          <w:rFonts w:cs="Arial"/>
          <w:szCs w:val="18"/>
          <w:lang w:val="en-US"/>
        </w:rPr>
        <w:t>A sensitivity analysis was carried out to evaluate the effect of the main column variables on separation performance. The effect of the molar reflux ratio on the overhead composition is shown in Figure 2. Increasing the reflux ratio strongly improved the purity of the distillate at low values. The CO</w:t>
      </w:r>
      <w:r w:rsidRPr="00F25D6C">
        <w:rPr>
          <w:rFonts w:ascii="Cambria Math" w:hAnsi="Cambria Math" w:cs="Cambria Math"/>
          <w:szCs w:val="18"/>
          <w:lang w:val="en-US"/>
        </w:rPr>
        <w:t>₂</w:t>
      </w:r>
      <w:r w:rsidRPr="00F25D6C">
        <w:rPr>
          <w:rFonts w:cs="Arial"/>
          <w:szCs w:val="18"/>
          <w:lang w:val="en-US"/>
        </w:rPr>
        <w:t xml:space="preserve"> mass fraction increased rapidly, while the H</w:t>
      </w:r>
      <w:r w:rsidRPr="00F25D6C">
        <w:rPr>
          <w:rFonts w:ascii="Cambria Math" w:hAnsi="Cambria Math" w:cs="Cambria Math"/>
          <w:szCs w:val="18"/>
          <w:lang w:val="en-US"/>
        </w:rPr>
        <w:t>₂</w:t>
      </w:r>
      <w:r w:rsidRPr="00F25D6C">
        <w:rPr>
          <w:rFonts w:cs="Arial"/>
          <w:szCs w:val="18"/>
          <w:lang w:val="en-US"/>
        </w:rPr>
        <w:t>S mass fraction decreased sharply. However, after a reflux ratio of approximately 5–6, the improvement became small and the curve approached a plateau. This indicates that excessive reflux would mainly increase energy consumption without producing a significant gain in product purity.</w:t>
      </w:r>
    </w:p>
    <w:p w14:paraId="008111A5" w14:textId="77777777" w:rsidR="00F25D6C" w:rsidRPr="00F25D6C" w:rsidRDefault="00F25D6C" w:rsidP="00F25D6C">
      <w:pPr>
        <w:rPr>
          <w:rFonts w:cs="Arial"/>
          <w:szCs w:val="18"/>
          <w:lang w:val="en-US"/>
        </w:rPr>
      </w:pPr>
      <w:r w:rsidRPr="00F25D6C">
        <w:rPr>
          <w:rFonts w:cs="Arial"/>
          <w:noProof/>
          <w:szCs w:val="18"/>
          <w:lang w:eastAsia="en-GB"/>
        </w:rPr>
        <w:drawing>
          <wp:inline distT="0" distB="0" distL="0" distR="0" wp14:anchorId="0A2554DB" wp14:editId="5C4882F1">
            <wp:extent cx="5350598" cy="2453489"/>
            <wp:effectExtent l="0" t="0" r="2540" b="4445"/>
            <wp:docPr id="985444668" name="Chart 1">
              <a:extLst xmlns:a="http://schemas.openxmlformats.org/drawingml/2006/main">
                <a:ext uri="{FF2B5EF4-FFF2-40B4-BE49-F238E27FC236}">
                  <a16:creationId xmlns:a16="http://schemas.microsoft.com/office/drawing/2014/main" id="{35273DF3-9180-4EC5-022E-8DC1F6CB81B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28E8BE1" w14:textId="77777777" w:rsidR="00F25D6C" w:rsidRPr="00F25D6C" w:rsidRDefault="00F25D6C" w:rsidP="00F25D6C">
      <w:pPr>
        <w:spacing w:before="240" w:after="240"/>
        <w:jc w:val="center"/>
        <w:rPr>
          <w:rFonts w:cs="Arial"/>
          <w:i/>
          <w:iCs/>
          <w:szCs w:val="18"/>
          <w:lang w:val="en-US"/>
        </w:rPr>
      </w:pPr>
      <w:r w:rsidRPr="00F25D6C">
        <w:rPr>
          <w:rFonts w:cs="Arial"/>
          <w:i/>
          <w:iCs/>
          <w:szCs w:val="18"/>
          <w:lang w:val="en-US"/>
        </w:rPr>
        <w:t>Figure 3. Effect of distillate molar rate on the overhead stream composition, showing the variation of CO</w:t>
      </w:r>
      <w:r w:rsidRPr="00F25D6C">
        <w:rPr>
          <w:rFonts w:ascii="Cambria Math" w:hAnsi="Cambria Math" w:cs="Cambria Math"/>
          <w:i/>
          <w:iCs/>
          <w:szCs w:val="18"/>
          <w:lang w:val="en-US"/>
        </w:rPr>
        <w:t>₂</w:t>
      </w:r>
      <w:r w:rsidRPr="00F25D6C">
        <w:rPr>
          <w:rFonts w:cs="Arial"/>
          <w:i/>
          <w:iCs/>
          <w:szCs w:val="18"/>
          <w:lang w:val="en-US"/>
        </w:rPr>
        <w:t xml:space="preserve"> and H</w:t>
      </w:r>
      <w:r w:rsidRPr="00F25D6C">
        <w:rPr>
          <w:rFonts w:ascii="Cambria Math" w:hAnsi="Cambria Math" w:cs="Cambria Math"/>
          <w:i/>
          <w:iCs/>
          <w:szCs w:val="18"/>
          <w:lang w:val="en-US"/>
        </w:rPr>
        <w:t>₂</w:t>
      </w:r>
      <w:r w:rsidRPr="00F25D6C">
        <w:rPr>
          <w:rFonts w:cs="Arial"/>
          <w:i/>
          <w:iCs/>
          <w:szCs w:val="18"/>
          <w:lang w:val="en-US"/>
        </w:rPr>
        <w:t>S mass fractions in the distillate.</w:t>
      </w:r>
    </w:p>
    <w:p w14:paraId="619925A2" w14:textId="77777777" w:rsidR="00F25D6C" w:rsidRDefault="00F25D6C" w:rsidP="00F25D6C">
      <w:pPr>
        <w:rPr>
          <w:rFonts w:cs="Arial"/>
          <w:szCs w:val="18"/>
          <w:lang w:val="en-US"/>
        </w:rPr>
      </w:pPr>
      <w:r w:rsidRPr="00F25D6C">
        <w:rPr>
          <w:rFonts w:cs="Arial"/>
          <w:szCs w:val="18"/>
          <w:lang w:val="en-US"/>
        </w:rPr>
        <w:t>The effect of distillate molar rate on the overhead composition is shown in Figure 3. At distillate flow rates up to about 595 kmol/h, the overhead composition remained nearly constant, with very high CO</w:t>
      </w:r>
      <w:r w:rsidRPr="00F25D6C">
        <w:rPr>
          <w:rFonts w:ascii="Cambria Math" w:hAnsi="Cambria Math" w:cs="Cambria Math"/>
          <w:szCs w:val="18"/>
          <w:lang w:val="en-US"/>
        </w:rPr>
        <w:t>₂</w:t>
      </w:r>
      <w:r w:rsidRPr="00F25D6C">
        <w:rPr>
          <w:rFonts w:cs="Arial"/>
          <w:szCs w:val="18"/>
          <w:lang w:val="en-US"/>
        </w:rPr>
        <w:t xml:space="preserve"> purity and very low H</w:t>
      </w:r>
      <w:r w:rsidRPr="00F25D6C">
        <w:rPr>
          <w:rFonts w:ascii="Cambria Math" w:hAnsi="Cambria Math" w:cs="Cambria Math"/>
          <w:szCs w:val="18"/>
          <w:lang w:val="en-US"/>
        </w:rPr>
        <w:t>₂</w:t>
      </w:r>
      <w:r w:rsidRPr="00F25D6C">
        <w:rPr>
          <w:rFonts w:cs="Arial"/>
          <w:szCs w:val="18"/>
          <w:lang w:val="en-US"/>
        </w:rPr>
        <w:t>S contamination. Above this value, the CO</w:t>
      </w:r>
      <w:r w:rsidRPr="00F25D6C">
        <w:rPr>
          <w:rFonts w:ascii="Cambria Math" w:hAnsi="Cambria Math" w:cs="Cambria Math"/>
          <w:szCs w:val="18"/>
          <w:lang w:val="en-US"/>
        </w:rPr>
        <w:t>₂</w:t>
      </w:r>
      <w:r w:rsidRPr="00F25D6C">
        <w:rPr>
          <w:rFonts w:cs="Arial"/>
          <w:szCs w:val="18"/>
          <w:lang w:val="en-US"/>
        </w:rPr>
        <w:t xml:space="preserve"> purity began to decrease and the H</w:t>
      </w:r>
      <w:r w:rsidRPr="00F25D6C">
        <w:rPr>
          <w:rFonts w:ascii="Cambria Math" w:hAnsi="Cambria Math" w:cs="Cambria Math"/>
          <w:szCs w:val="18"/>
          <w:lang w:val="en-US"/>
        </w:rPr>
        <w:t>₂</w:t>
      </w:r>
      <w:r w:rsidRPr="00F25D6C">
        <w:rPr>
          <w:rFonts w:cs="Arial"/>
          <w:szCs w:val="18"/>
          <w:lang w:val="en-US"/>
        </w:rPr>
        <w:t>S content increased noticeably. This shows that excessive distillate withdrawal reduces the effective rectification capacity of the upper part of the column and deteriorates the top-product quality.</w:t>
      </w:r>
    </w:p>
    <w:p w14:paraId="7DBC8F76" w14:textId="77777777" w:rsidR="008B7706" w:rsidRPr="00F25D6C" w:rsidRDefault="008B7706" w:rsidP="008B7706">
      <w:pPr>
        <w:rPr>
          <w:rFonts w:cs="Arial"/>
          <w:szCs w:val="18"/>
          <w:lang w:val="en-US"/>
        </w:rPr>
      </w:pPr>
      <w:r w:rsidRPr="00F25D6C">
        <w:rPr>
          <w:rFonts w:cs="Arial"/>
          <w:szCs w:val="18"/>
          <w:lang w:val="en-US"/>
        </w:rPr>
        <w:t>The corresponding effect of distillate molar rate on the bottom composition is given in Figure 4. With increasing distillate molar rate, the bottom stream became more enriched in H</w:t>
      </w:r>
      <w:r w:rsidRPr="00F25D6C">
        <w:rPr>
          <w:rFonts w:ascii="Cambria Math" w:hAnsi="Cambria Math" w:cs="Cambria Math"/>
          <w:szCs w:val="18"/>
          <w:lang w:val="en-US"/>
        </w:rPr>
        <w:t>₂</w:t>
      </w:r>
      <w:r w:rsidRPr="00F25D6C">
        <w:rPr>
          <w:rFonts w:cs="Arial"/>
          <w:szCs w:val="18"/>
          <w:lang w:val="en-US"/>
        </w:rPr>
        <w:t>S and less loaded with CO</w:t>
      </w:r>
      <w:r w:rsidRPr="00F25D6C">
        <w:rPr>
          <w:rFonts w:ascii="Cambria Math" w:hAnsi="Cambria Math" w:cs="Cambria Math"/>
          <w:szCs w:val="18"/>
          <w:lang w:val="en-US"/>
        </w:rPr>
        <w:t>₂</w:t>
      </w:r>
      <w:r w:rsidRPr="00F25D6C">
        <w:rPr>
          <w:rFonts w:cs="Arial"/>
          <w:szCs w:val="18"/>
          <w:lang w:val="en-US"/>
        </w:rPr>
        <w:t>. At higher withdrawal rates, the bottom stream approached an H</w:t>
      </w:r>
      <w:r w:rsidRPr="00F25D6C">
        <w:rPr>
          <w:rFonts w:ascii="Cambria Math" w:hAnsi="Cambria Math" w:cs="Cambria Math"/>
          <w:szCs w:val="18"/>
          <w:lang w:val="en-US"/>
        </w:rPr>
        <w:t>₂</w:t>
      </w:r>
      <w:r w:rsidRPr="00F25D6C">
        <w:rPr>
          <w:rFonts w:cs="Arial"/>
          <w:szCs w:val="18"/>
          <w:lang w:val="en-US"/>
        </w:rPr>
        <w:t xml:space="preserve">S-dominant composition. Although this behavior is </w:t>
      </w:r>
      <w:r w:rsidRPr="00F25D6C">
        <w:rPr>
          <w:rFonts w:cs="Arial"/>
          <w:szCs w:val="18"/>
          <w:lang w:val="en-US"/>
        </w:rPr>
        <w:lastRenderedPageBreak/>
        <w:t>favorable for sulfur recovery, it must be considered together with the overhead results in Figure 3, since excessive distillate withdrawal simultaneously worsens the purity of the CO</w:t>
      </w:r>
      <w:r w:rsidRPr="00F25D6C">
        <w:rPr>
          <w:rFonts w:ascii="Cambria Math" w:hAnsi="Cambria Math" w:cs="Cambria Math"/>
          <w:szCs w:val="18"/>
          <w:lang w:val="en-US"/>
        </w:rPr>
        <w:t>₂</w:t>
      </w:r>
      <w:r w:rsidRPr="00F25D6C">
        <w:rPr>
          <w:rFonts w:cs="Arial"/>
          <w:szCs w:val="18"/>
          <w:lang w:val="en-US"/>
        </w:rPr>
        <w:t>-rich stream. Therefore, the optimum operating region should balance both product requirements rather than maximizing only one outlet quality.</w:t>
      </w:r>
    </w:p>
    <w:p w14:paraId="38A3C4AA" w14:textId="77777777" w:rsidR="008B7706" w:rsidRPr="00F25D6C" w:rsidRDefault="008B7706" w:rsidP="00F25D6C">
      <w:pPr>
        <w:rPr>
          <w:rFonts w:cs="Arial"/>
          <w:szCs w:val="18"/>
          <w:lang w:val="en-US"/>
        </w:rPr>
      </w:pPr>
    </w:p>
    <w:p w14:paraId="4B4596A3" w14:textId="77777777" w:rsidR="00F25D6C" w:rsidRPr="00F25D6C" w:rsidRDefault="00F25D6C" w:rsidP="00F25D6C">
      <w:pPr>
        <w:jc w:val="center"/>
        <w:rPr>
          <w:rFonts w:cs="Arial"/>
          <w:b/>
          <w:bCs/>
          <w:szCs w:val="18"/>
          <w:lang w:val="en-US"/>
        </w:rPr>
      </w:pPr>
      <w:r w:rsidRPr="00F25D6C">
        <w:rPr>
          <w:rFonts w:cs="Arial"/>
          <w:noProof/>
          <w:szCs w:val="18"/>
          <w:lang w:eastAsia="en-GB"/>
        </w:rPr>
        <w:drawing>
          <wp:inline distT="0" distB="0" distL="0" distR="0" wp14:anchorId="6C9D477A" wp14:editId="637D4C40">
            <wp:extent cx="5436606" cy="2190939"/>
            <wp:effectExtent l="0" t="0" r="12065" b="0"/>
            <wp:docPr id="18722259" name="Chart 1">
              <a:extLst xmlns:a="http://schemas.openxmlformats.org/drawingml/2006/main">
                <a:ext uri="{FF2B5EF4-FFF2-40B4-BE49-F238E27FC236}">
                  <a16:creationId xmlns:a16="http://schemas.microsoft.com/office/drawing/2014/main" id="{E070CC72-2AFE-FDF8-06D7-589F7745502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7B0BC70" w14:textId="77777777" w:rsidR="00F25D6C" w:rsidRPr="00F25D6C" w:rsidRDefault="00F25D6C" w:rsidP="00F25D6C">
      <w:pPr>
        <w:spacing w:before="240" w:after="240"/>
        <w:rPr>
          <w:rFonts w:cs="Arial"/>
          <w:i/>
          <w:iCs/>
          <w:szCs w:val="18"/>
          <w:lang w:val="en-US"/>
        </w:rPr>
      </w:pPr>
      <w:r w:rsidRPr="00F25D6C">
        <w:rPr>
          <w:rFonts w:cs="Arial"/>
          <w:i/>
          <w:iCs/>
          <w:szCs w:val="18"/>
          <w:lang w:val="en-US"/>
        </w:rPr>
        <w:t>Figure 4. Effect of distillate molar rate on the bottom stream composition, showing the variation of CO</w:t>
      </w:r>
      <w:r w:rsidRPr="00F25D6C">
        <w:rPr>
          <w:rFonts w:ascii="Cambria Math" w:hAnsi="Cambria Math" w:cs="Cambria Math"/>
          <w:i/>
          <w:iCs/>
          <w:szCs w:val="18"/>
          <w:lang w:val="en-US"/>
        </w:rPr>
        <w:t>₂</w:t>
      </w:r>
      <w:r w:rsidRPr="00F25D6C">
        <w:rPr>
          <w:rFonts w:cs="Arial"/>
          <w:i/>
          <w:iCs/>
          <w:szCs w:val="18"/>
          <w:lang w:val="en-US"/>
        </w:rPr>
        <w:t xml:space="preserve"> and H</w:t>
      </w:r>
      <w:r w:rsidRPr="00F25D6C">
        <w:rPr>
          <w:rFonts w:ascii="Cambria Math" w:hAnsi="Cambria Math" w:cs="Cambria Math"/>
          <w:i/>
          <w:iCs/>
          <w:szCs w:val="18"/>
          <w:lang w:val="en-US"/>
        </w:rPr>
        <w:t>₂</w:t>
      </w:r>
      <w:r w:rsidRPr="00F25D6C">
        <w:rPr>
          <w:rFonts w:cs="Arial"/>
          <w:i/>
          <w:iCs/>
          <w:szCs w:val="18"/>
          <w:lang w:val="en-US"/>
        </w:rPr>
        <w:t>S mass fractions in the bottom product.</w:t>
      </w:r>
    </w:p>
    <w:p w14:paraId="47622ED5" w14:textId="77777777" w:rsidR="00754BD2" w:rsidRPr="00754BD2" w:rsidRDefault="00754BD2" w:rsidP="00754BD2">
      <w:pPr>
        <w:rPr>
          <w:rFonts w:cs="Arial"/>
          <w:szCs w:val="18"/>
          <w:lang w:val="en-US"/>
        </w:rPr>
      </w:pPr>
      <w:r w:rsidRPr="00754BD2">
        <w:rPr>
          <w:rFonts w:cs="Arial"/>
          <w:szCs w:val="18"/>
          <w:lang w:val="en-US"/>
        </w:rPr>
        <w:t>The H</w:t>
      </w:r>
      <w:r w:rsidRPr="00754BD2">
        <w:rPr>
          <w:rFonts w:ascii="Cambria Math" w:hAnsi="Cambria Math" w:cs="Cambria Math"/>
          <w:szCs w:val="18"/>
          <w:lang w:val="en-US"/>
        </w:rPr>
        <w:t>₂</w:t>
      </w:r>
      <w:r w:rsidRPr="00754BD2">
        <w:rPr>
          <w:rFonts w:cs="Arial"/>
          <w:szCs w:val="18"/>
          <w:lang w:val="en-US"/>
        </w:rPr>
        <w:t>S-rich bottom stream was then processed in the sulfur recovery section shown in Figure 1. The Claus-type section produced sulfur in three condensation stages. Based on the H</w:t>
      </w:r>
      <w:r w:rsidRPr="00754BD2">
        <w:rPr>
          <w:rFonts w:ascii="Cambria Math" w:hAnsi="Cambria Math" w:cs="Cambria Math"/>
          <w:szCs w:val="18"/>
          <w:lang w:val="en-US"/>
        </w:rPr>
        <w:t>₂</w:t>
      </w:r>
      <w:r w:rsidRPr="00754BD2">
        <w:rPr>
          <w:rFonts w:cs="Arial"/>
          <w:szCs w:val="18"/>
          <w:lang w:val="en-US"/>
        </w:rPr>
        <w:t>S content of the bottom stream and a sulfur recovery basis corresponding to approximately 95% H</w:t>
      </w:r>
      <w:r w:rsidRPr="00754BD2">
        <w:rPr>
          <w:rFonts w:ascii="Cambria Math" w:hAnsi="Cambria Math" w:cs="Cambria Math"/>
          <w:szCs w:val="18"/>
          <w:lang w:val="en-US"/>
        </w:rPr>
        <w:t>₂</w:t>
      </w:r>
      <w:r w:rsidRPr="00754BD2">
        <w:rPr>
          <w:rFonts w:cs="Arial"/>
          <w:szCs w:val="18"/>
          <w:lang w:val="en-US"/>
        </w:rPr>
        <w:t>S conversion, the total elemental sulfur production was estimated at about 0.79 t/h. This result confirms that the bottom stream generated by the rectification column was sufficiently enriched in H</w:t>
      </w:r>
      <w:r w:rsidRPr="00754BD2">
        <w:rPr>
          <w:rFonts w:ascii="Cambria Math" w:hAnsi="Cambria Math" w:cs="Cambria Math"/>
          <w:szCs w:val="18"/>
          <w:lang w:val="en-US"/>
        </w:rPr>
        <w:t>₂</w:t>
      </w:r>
      <w:r w:rsidRPr="00754BD2">
        <w:rPr>
          <w:rFonts w:cs="Arial"/>
          <w:szCs w:val="18"/>
          <w:lang w:val="en-US"/>
        </w:rPr>
        <w:t>S to serve as an effective feed for downstream sulfur recovery.</w:t>
      </w:r>
    </w:p>
    <w:p w14:paraId="1CAB69C3" w14:textId="77777777" w:rsidR="00754BD2" w:rsidRDefault="00754BD2" w:rsidP="00754BD2">
      <w:pPr>
        <w:rPr>
          <w:rFonts w:cs="Arial"/>
          <w:szCs w:val="18"/>
          <w:lang w:val="en-US"/>
        </w:rPr>
      </w:pPr>
      <w:r w:rsidRPr="00754BD2">
        <w:rPr>
          <w:rFonts w:cs="Arial"/>
          <w:szCs w:val="18"/>
          <w:lang w:val="en-US"/>
        </w:rPr>
        <w:t>The CO</w:t>
      </w:r>
      <w:r w:rsidRPr="00754BD2">
        <w:rPr>
          <w:rFonts w:ascii="Cambria Math" w:hAnsi="Cambria Math" w:cs="Cambria Math"/>
          <w:szCs w:val="18"/>
          <w:lang w:val="en-US"/>
        </w:rPr>
        <w:t>₂</w:t>
      </w:r>
      <w:r w:rsidRPr="00754BD2">
        <w:rPr>
          <w:rFonts w:cs="Arial"/>
          <w:szCs w:val="18"/>
          <w:lang w:val="en-US"/>
        </w:rPr>
        <w:t>-rich overhead stream was further sent to the methanation reactor. Using the experimentally determined reactor performance of approximately 80% CO</w:t>
      </w:r>
      <w:r w:rsidRPr="00754BD2">
        <w:rPr>
          <w:rFonts w:ascii="Cambria Math" w:hAnsi="Cambria Math" w:cs="Cambria Math"/>
          <w:szCs w:val="18"/>
          <w:lang w:val="en-US"/>
        </w:rPr>
        <w:t>₂</w:t>
      </w:r>
      <w:r w:rsidRPr="00754BD2">
        <w:rPr>
          <w:rFonts w:cs="Arial"/>
          <w:szCs w:val="18"/>
          <w:lang w:val="en-US"/>
        </w:rPr>
        <w:t xml:space="preserve"> conversion and nearly complete CH</w:t>
      </w:r>
      <w:r w:rsidRPr="00754BD2">
        <w:rPr>
          <w:rFonts w:ascii="Cambria Math" w:hAnsi="Cambria Math" w:cs="Cambria Math"/>
          <w:szCs w:val="18"/>
          <w:lang w:val="en-US"/>
        </w:rPr>
        <w:t>₄</w:t>
      </w:r>
      <w:r w:rsidRPr="00754BD2">
        <w:rPr>
          <w:rFonts w:cs="Arial"/>
          <w:szCs w:val="18"/>
          <w:lang w:val="en-US"/>
        </w:rPr>
        <w:t xml:space="preserve"> selectivity, the process-level simulation predicted about 7.5 t/h of synthetic methane, corresponding to more than 10,400 Nm³/h under normal conditions. In addition, about 16.8 t/h of water was formed. These results indicate that the purified carbon dioxide stream can be utilized as a feedstock for synthetic methane production. The proposed methanation section benefits from the potential availability of excess H</w:t>
      </w:r>
      <w:r w:rsidRPr="00754BD2">
        <w:rPr>
          <w:rFonts w:ascii="Cambria Math" w:hAnsi="Cambria Math" w:cs="Cambria Math"/>
          <w:szCs w:val="18"/>
          <w:lang w:val="en-US"/>
        </w:rPr>
        <w:t>₂</w:t>
      </w:r>
      <w:r w:rsidRPr="00754BD2">
        <w:rPr>
          <w:rFonts w:cs="Arial"/>
          <w:szCs w:val="18"/>
          <w:lang w:val="en-US"/>
        </w:rPr>
        <w:t xml:space="preserve"> generated within the site’s ethane-to-ethylene production process; however, the actual hydrogen balance remains a key constraint for full-scale implementation.</w:t>
      </w:r>
    </w:p>
    <w:p w14:paraId="4B5A3446" w14:textId="61C89099" w:rsidR="00F306F6" w:rsidRPr="00754BD2" w:rsidRDefault="00F306F6" w:rsidP="00754BD2">
      <w:pPr>
        <w:rPr>
          <w:rFonts w:cs="Arial"/>
          <w:szCs w:val="18"/>
          <w:lang w:val="en-US"/>
        </w:rPr>
      </w:pPr>
      <w:r w:rsidRPr="00F306F6">
        <w:rPr>
          <w:rFonts w:cs="Arial"/>
          <w:szCs w:val="18"/>
        </w:rPr>
        <w:t>The main utility requirements were also examined to provide an initial indication of the energy implications of the integrated configuration. For the rectification section, the simulated reboiler and condenser duties were approximately 19.4 MW and 21.6 MW, respectively, indicating that separation represents the largest external thermal load of the proposed scheme. In the sulfur recovery section, the waste heat exchanger recovered approximately 1.1 MW from the hot furnace effluent, while the three sulfur condensers removed about 0.21, 0.18, and 0.08 MW, respectively. The two catalytic-stage reheaters required comparatively small heat inputs of approximately 0.11 and 0.06 MW. The sulfur recovery model also required about 34 kg/h of fuel gas. For the methanation section, the exothermic nature of the CO</w:t>
      </w:r>
      <w:r w:rsidRPr="00F306F6">
        <w:rPr>
          <w:rFonts w:ascii="Cambria Math" w:hAnsi="Cambria Math" w:cs="Cambria Math"/>
          <w:szCs w:val="18"/>
        </w:rPr>
        <w:t>₂</w:t>
      </w:r>
      <w:r w:rsidRPr="00F306F6">
        <w:rPr>
          <w:rFonts w:cs="Arial"/>
          <w:szCs w:val="18"/>
        </w:rPr>
        <w:t xml:space="preserve"> hydrogenation reaction implies a significant heat-removal requirement at the operating temperature of 280–285 °C. Therefore, heat integration between the exothermic methanation section, the rectification reboiler, and the existing sulfur recovery infrastructure represents an important opportunity for further reduction of the net utility demand.</w:t>
      </w:r>
    </w:p>
    <w:p w14:paraId="68D26B83" w14:textId="77777777" w:rsidR="00600535" w:rsidRPr="00B57B36" w:rsidRDefault="00600535" w:rsidP="00730B17">
      <w:pPr>
        <w:pStyle w:val="CETHeading1"/>
        <w:spacing w:line="264" w:lineRule="auto"/>
        <w:rPr>
          <w:lang w:val="en-GB"/>
        </w:rPr>
      </w:pPr>
      <w:r w:rsidRPr="00B57B36">
        <w:rPr>
          <w:lang w:val="en-GB"/>
        </w:rPr>
        <w:t>Conclusions</w:t>
      </w:r>
    </w:p>
    <w:p w14:paraId="234535F4" w14:textId="77777777" w:rsidR="00730B17" w:rsidRPr="00730B17" w:rsidRDefault="00730B17" w:rsidP="00730B17">
      <w:pPr>
        <w:pStyle w:val="ListParagraph"/>
        <w:tabs>
          <w:tab w:val="clear" w:pos="7100"/>
        </w:tabs>
        <w:ind w:left="0"/>
        <w:rPr>
          <w:rFonts w:cs="Arial"/>
          <w:szCs w:val="18"/>
          <w:lang w:val="en-US" w:eastAsia="ru-RU"/>
        </w:rPr>
      </w:pPr>
      <w:r w:rsidRPr="00730B17">
        <w:rPr>
          <w:rFonts w:cs="Arial"/>
          <w:szCs w:val="18"/>
          <w:lang w:val="en-US" w:eastAsia="ru-RU"/>
        </w:rPr>
        <w:t>In this work, an integrated process for the valorization of a CO</w:t>
      </w:r>
      <w:r w:rsidRPr="00730B17">
        <w:rPr>
          <w:rFonts w:ascii="Cambria Math" w:hAnsi="Cambria Math" w:cs="Cambria Math"/>
          <w:szCs w:val="18"/>
          <w:lang w:val="en-US" w:eastAsia="ru-RU"/>
        </w:rPr>
        <w:t>₂</w:t>
      </w:r>
      <w:r w:rsidRPr="00730B17">
        <w:rPr>
          <w:rFonts w:cs="Arial"/>
          <w:szCs w:val="18"/>
          <w:lang w:val="en-US" w:eastAsia="ru-RU"/>
        </w:rPr>
        <w:t>-rich acid gas stream was developed using Aspen HYSYS. The industrial feed contained approximately 96.55–96.94% CO</w:t>
      </w:r>
      <w:r w:rsidRPr="00730B17">
        <w:rPr>
          <w:rFonts w:ascii="Cambria Math" w:hAnsi="Cambria Math" w:cs="Cambria Math"/>
          <w:szCs w:val="18"/>
          <w:lang w:val="en-US" w:eastAsia="ru-RU"/>
        </w:rPr>
        <w:t>₂</w:t>
      </w:r>
      <w:r w:rsidRPr="00730B17">
        <w:rPr>
          <w:rFonts w:cs="Arial"/>
          <w:szCs w:val="18"/>
          <w:lang w:val="en-US" w:eastAsia="ru-RU"/>
        </w:rPr>
        <w:t xml:space="preserve"> and 2.61–3.37% H</w:t>
      </w:r>
      <w:r w:rsidRPr="00730B17">
        <w:rPr>
          <w:rFonts w:ascii="Cambria Math" w:hAnsi="Cambria Math" w:cs="Cambria Math"/>
          <w:szCs w:val="18"/>
          <w:lang w:val="en-US" w:eastAsia="ru-RU"/>
        </w:rPr>
        <w:t>₂</w:t>
      </w:r>
      <w:r w:rsidRPr="00730B17">
        <w:rPr>
          <w:rFonts w:cs="Arial"/>
          <w:szCs w:val="18"/>
          <w:lang w:val="en-US" w:eastAsia="ru-RU"/>
        </w:rPr>
        <w:t>S, and the proposed rectification step successfully separated it into two process-specific streams. The overhead product reached 99.32 mol% CO</w:t>
      </w:r>
      <w:r w:rsidRPr="00730B17">
        <w:rPr>
          <w:rFonts w:ascii="Cambria Math" w:hAnsi="Cambria Math" w:cs="Cambria Math"/>
          <w:szCs w:val="18"/>
          <w:lang w:val="en-US" w:eastAsia="ru-RU"/>
        </w:rPr>
        <w:t>₂</w:t>
      </w:r>
      <w:r w:rsidRPr="00730B17">
        <w:rPr>
          <w:rFonts w:cs="Arial"/>
          <w:szCs w:val="18"/>
          <w:lang w:val="en-US" w:eastAsia="ru-RU"/>
        </w:rPr>
        <w:t>, equivalent to 99.72 wt.% CO</w:t>
      </w:r>
      <w:r w:rsidRPr="00730B17">
        <w:rPr>
          <w:rFonts w:ascii="Cambria Math" w:hAnsi="Cambria Math" w:cs="Cambria Math"/>
          <w:szCs w:val="18"/>
          <w:lang w:val="en-US" w:eastAsia="ru-RU"/>
        </w:rPr>
        <w:t>₂</w:t>
      </w:r>
      <w:r w:rsidRPr="00730B17">
        <w:rPr>
          <w:rFonts w:cs="Arial"/>
          <w:szCs w:val="18"/>
          <w:lang w:val="en-US" w:eastAsia="ru-RU"/>
        </w:rPr>
        <w:t>, while the bottom stream was enriched to 74.49 wt.% H</w:t>
      </w:r>
      <w:r w:rsidRPr="00730B17">
        <w:rPr>
          <w:rFonts w:ascii="Cambria Math" w:hAnsi="Cambria Math" w:cs="Cambria Math"/>
          <w:szCs w:val="18"/>
          <w:lang w:val="en-US" w:eastAsia="ru-RU"/>
        </w:rPr>
        <w:t>₂</w:t>
      </w:r>
      <w:r w:rsidRPr="00730B17">
        <w:rPr>
          <w:rFonts w:cs="Arial"/>
          <w:szCs w:val="18"/>
          <w:lang w:val="en-US" w:eastAsia="ru-RU"/>
        </w:rPr>
        <w:t>S. The sensitivity analysis showed that both the molar reflux ratio and the distillate molar rate strongly affect the separation performance, and that the column should be operated within a balanced region where high CO</w:t>
      </w:r>
      <w:r w:rsidRPr="00730B17">
        <w:rPr>
          <w:rFonts w:ascii="Cambria Math" w:hAnsi="Cambria Math" w:cs="Cambria Math"/>
          <w:szCs w:val="18"/>
          <w:lang w:val="en-US" w:eastAsia="ru-RU"/>
        </w:rPr>
        <w:t>₂</w:t>
      </w:r>
      <w:r w:rsidRPr="00730B17">
        <w:rPr>
          <w:rFonts w:cs="Arial"/>
          <w:szCs w:val="18"/>
          <w:lang w:val="en-US" w:eastAsia="ru-RU"/>
        </w:rPr>
        <w:t xml:space="preserve"> purity and effective H</w:t>
      </w:r>
      <w:r w:rsidRPr="00730B17">
        <w:rPr>
          <w:rFonts w:ascii="Cambria Math" w:hAnsi="Cambria Math" w:cs="Cambria Math"/>
          <w:szCs w:val="18"/>
          <w:lang w:val="en-US" w:eastAsia="ru-RU"/>
        </w:rPr>
        <w:t>₂</w:t>
      </w:r>
      <w:r w:rsidRPr="00730B17">
        <w:rPr>
          <w:rFonts w:cs="Arial"/>
          <w:szCs w:val="18"/>
          <w:lang w:val="en-US" w:eastAsia="ru-RU"/>
        </w:rPr>
        <w:t>S enrichment can be achieved simultaneously.</w:t>
      </w:r>
    </w:p>
    <w:p w14:paraId="3133A304" w14:textId="77777777" w:rsidR="00730B17" w:rsidRPr="00730B17" w:rsidRDefault="00730B17" w:rsidP="00730B17">
      <w:pPr>
        <w:pStyle w:val="ListParagraph"/>
        <w:tabs>
          <w:tab w:val="clear" w:pos="7100"/>
        </w:tabs>
        <w:ind w:left="0"/>
        <w:rPr>
          <w:rFonts w:cs="Arial"/>
          <w:szCs w:val="18"/>
          <w:lang w:val="en-US" w:eastAsia="ru-RU"/>
        </w:rPr>
      </w:pPr>
      <w:r w:rsidRPr="00730B17">
        <w:rPr>
          <w:rFonts w:cs="Arial"/>
          <w:szCs w:val="18"/>
          <w:lang w:val="en-US" w:eastAsia="ru-RU"/>
        </w:rPr>
        <w:lastRenderedPageBreak/>
        <w:t>The H</w:t>
      </w:r>
      <w:r w:rsidRPr="00730B17">
        <w:rPr>
          <w:rFonts w:ascii="Cambria Math" w:hAnsi="Cambria Math" w:cs="Cambria Math"/>
          <w:szCs w:val="18"/>
          <w:lang w:val="en-US" w:eastAsia="ru-RU"/>
        </w:rPr>
        <w:t>₂</w:t>
      </w:r>
      <w:r w:rsidRPr="00730B17">
        <w:rPr>
          <w:rFonts w:cs="Arial"/>
          <w:szCs w:val="18"/>
          <w:lang w:val="en-US" w:eastAsia="ru-RU"/>
        </w:rPr>
        <w:t>S-rich bottom stream was subsequently considered for processing in the existing Claus-based sulfur recovery infrastructure at the Shurtan Gas Chemical Complex. Based on the sulfur-bearing content of the bottom stream and an H</w:t>
      </w:r>
      <w:r w:rsidRPr="00730B17">
        <w:rPr>
          <w:rFonts w:ascii="Cambria Math" w:hAnsi="Cambria Math" w:cs="Cambria Math"/>
          <w:szCs w:val="18"/>
          <w:lang w:val="en-US" w:eastAsia="ru-RU"/>
        </w:rPr>
        <w:t>₂</w:t>
      </w:r>
      <w:r w:rsidRPr="00730B17">
        <w:rPr>
          <w:rFonts w:cs="Arial"/>
          <w:szCs w:val="18"/>
          <w:lang w:val="en-US" w:eastAsia="ru-RU"/>
        </w:rPr>
        <w:t>S conversion basis of approximately 95%, the elemental sulfur production was estimated at about 0.79 t/h. Since a sulfur recovery process is already available at the site, the proposed concept does not require the introduction of a completely new sulfur-processing route. Instead, the upstream rectification step reduces the inert CO</w:t>
      </w:r>
      <w:r w:rsidRPr="00730B17">
        <w:rPr>
          <w:rFonts w:ascii="Cambria Math" w:hAnsi="Cambria Math" w:cs="Cambria Math"/>
          <w:szCs w:val="18"/>
          <w:lang w:val="en-US" w:eastAsia="ru-RU"/>
        </w:rPr>
        <w:t>₂</w:t>
      </w:r>
      <w:r w:rsidRPr="00730B17">
        <w:rPr>
          <w:rFonts w:cs="Arial"/>
          <w:szCs w:val="18"/>
          <w:lang w:val="en-US" w:eastAsia="ru-RU"/>
        </w:rPr>
        <w:t xml:space="preserve"> load entering the sulfur recovery section, which is expected to decrease the thermal and utility demand of the existing process and improve the quality of the Claus feed.</w:t>
      </w:r>
    </w:p>
    <w:p w14:paraId="25018DF9" w14:textId="77777777" w:rsidR="00730B17" w:rsidRPr="00730B17" w:rsidRDefault="00730B17" w:rsidP="00730B17">
      <w:pPr>
        <w:pStyle w:val="ListParagraph"/>
        <w:tabs>
          <w:tab w:val="clear" w:pos="7100"/>
        </w:tabs>
        <w:ind w:left="0"/>
        <w:rPr>
          <w:rFonts w:cs="Arial"/>
          <w:szCs w:val="18"/>
          <w:lang w:val="en-US" w:eastAsia="ru-RU"/>
        </w:rPr>
      </w:pPr>
      <w:r w:rsidRPr="00730B17">
        <w:rPr>
          <w:rFonts w:cs="Arial"/>
          <w:szCs w:val="18"/>
          <w:lang w:val="en-US" w:eastAsia="ru-RU"/>
        </w:rPr>
        <w:t>The purified CO</w:t>
      </w:r>
      <w:r w:rsidRPr="00730B17">
        <w:rPr>
          <w:rFonts w:ascii="Cambria Math" w:hAnsi="Cambria Math" w:cs="Cambria Math"/>
          <w:szCs w:val="18"/>
          <w:lang w:val="en-US" w:eastAsia="ru-RU"/>
        </w:rPr>
        <w:t>₂</w:t>
      </w:r>
      <w:r w:rsidRPr="00730B17">
        <w:rPr>
          <w:rFonts w:cs="Arial"/>
          <w:szCs w:val="18"/>
          <w:lang w:val="en-US" w:eastAsia="ru-RU"/>
        </w:rPr>
        <w:t>-rich overhead stream was further evaluated for methanation in a fixed-bed plug flow reactor operating at approximately 1 atm and 280–285 °C. Using experimentally determined reactor performance of about 80% CO</w:t>
      </w:r>
      <w:r w:rsidRPr="00730B17">
        <w:rPr>
          <w:rFonts w:ascii="Cambria Math" w:hAnsi="Cambria Math" w:cs="Cambria Math"/>
          <w:szCs w:val="18"/>
          <w:lang w:val="en-US" w:eastAsia="ru-RU"/>
        </w:rPr>
        <w:t>₂</w:t>
      </w:r>
      <w:r w:rsidRPr="00730B17">
        <w:rPr>
          <w:rFonts w:cs="Arial"/>
          <w:szCs w:val="18"/>
          <w:lang w:val="en-US" w:eastAsia="ru-RU"/>
        </w:rPr>
        <w:t xml:space="preserve"> conversion and nearly complete CH</w:t>
      </w:r>
      <w:r w:rsidRPr="00730B17">
        <w:rPr>
          <w:rFonts w:ascii="Cambria Math" w:hAnsi="Cambria Math" w:cs="Cambria Math"/>
          <w:szCs w:val="18"/>
          <w:lang w:val="en-US" w:eastAsia="ru-RU"/>
        </w:rPr>
        <w:t>₄</w:t>
      </w:r>
      <w:r w:rsidRPr="00730B17">
        <w:rPr>
          <w:rFonts w:cs="Arial"/>
          <w:szCs w:val="18"/>
          <w:lang w:val="en-US" w:eastAsia="ru-RU"/>
        </w:rPr>
        <w:t xml:space="preserve"> selectivity, the process-level simulation predicted approximately 7.5 t/h of synthetic methane, corresponding to more than 10,400 Nm³/h under normal conditions. The proposed methanation section can potentially use excess H</w:t>
      </w:r>
      <w:r w:rsidRPr="00730B17">
        <w:rPr>
          <w:rFonts w:ascii="Cambria Math" w:hAnsi="Cambria Math" w:cs="Cambria Math"/>
          <w:szCs w:val="18"/>
          <w:lang w:val="en-US" w:eastAsia="ru-RU"/>
        </w:rPr>
        <w:t>₂</w:t>
      </w:r>
      <w:r w:rsidRPr="00730B17">
        <w:rPr>
          <w:rFonts w:cs="Arial"/>
          <w:szCs w:val="18"/>
          <w:lang w:val="en-US" w:eastAsia="ru-RU"/>
        </w:rPr>
        <w:t xml:space="preserve"> generated within the site’s ethane-to-ethylene production process, thereby strengthening the overall site-integration concept and avoiding the need to assume a fully external hydrogen supply.</w:t>
      </w:r>
    </w:p>
    <w:p w14:paraId="47B041CE" w14:textId="4EFD1CA0" w:rsidR="00730B17" w:rsidRPr="00730B17" w:rsidRDefault="00992D92" w:rsidP="00730B17">
      <w:pPr>
        <w:pStyle w:val="ListParagraph"/>
        <w:tabs>
          <w:tab w:val="clear" w:pos="7100"/>
        </w:tabs>
        <w:ind w:left="0"/>
        <w:rPr>
          <w:rFonts w:cs="Arial"/>
          <w:szCs w:val="18"/>
          <w:lang w:val="en-US" w:eastAsia="ru-RU"/>
        </w:rPr>
      </w:pPr>
      <w:r w:rsidRPr="00992D92">
        <w:rPr>
          <w:rFonts w:cs="Arial"/>
          <w:szCs w:val="18"/>
          <w:lang w:eastAsia="ru-RU"/>
        </w:rPr>
        <w:t>Overall, the proposed configuration should be regarded as a process-integration and upgrading strategy for an existing industrial site rather than as a stand-alone greenfield process. Although rectification introduces a significant thermal requirement, with simulated reboiler and condenser duties of approximately 19.4 and 21.6 MW, respectively, the upstream removal of most of the CO</w:t>
      </w:r>
      <w:r w:rsidRPr="00992D92">
        <w:rPr>
          <w:rFonts w:ascii="Cambria Math" w:hAnsi="Cambria Math" w:cs="Cambria Math"/>
          <w:szCs w:val="18"/>
          <w:lang w:eastAsia="ru-RU"/>
        </w:rPr>
        <w:t>₂</w:t>
      </w:r>
      <w:r w:rsidRPr="00992D92">
        <w:rPr>
          <w:rFonts w:cs="Arial"/>
          <w:szCs w:val="18"/>
          <w:lang w:eastAsia="ru-RU"/>
        </w:rPr>
        <w:t xml:space="preserve"> is expected to reduce the inert-gas load and associated energy demand of the existing sulfur recovery section. In addition, the sulfur recovery model showed approximately 1.1 MW of recoverable heat in the waste heat exchanger, while the strongly exothermic methanation step offers further opportunities for heat integration. Therefore, future work should focus on detailed heat integration, hydrogen balance, utility optimization, and techno-economic evaluation to quantify the net industrial benefit of the proposed configuration.</w:t>
      </w:r>
    </w:p>
    <w:p w14:paraId="459D05E6" w14:textId="77777777" w:rsidR="00600535" w:rsidRPr="00B57B36" w:rsidRDefault="00600535" w:rsidP="00600535">
      <w:pPr>
        <w:pStyle w:val="CETAcknowledgementstitle"/>
      </w:pPr>
      <w:r w:rsidRPr="00B57B36">
        <w:t>Acknowledgments</w:t>
      </w:r>
    </w:p>
    <w:p w14:paraId="33F8138F" w14:textId="352B71E7" w:rsidR="00600535" w:rsidRPr="00B57B36" w:rsidRDefault="00F25D6C" w:rsidP="00600535">
      <w:pPr>
        <w:pStyle w:val="CETBodytext"/>
        <w:rPr>
          <w:lang w:val="en-GB"/>
        </w:rPr>
      </w:pPr>
      <w:r w:rsidRPr="00F25D6C">
        <w:rPr>
          <w:lang w:val="en-GB"/>
        </w:rPr>
        <w:t>The authors acknowledge the researchers whose experimental studies formed the basis of the curated dataset used in this work</w:t>
      </w:r>
    </w:p>
    <w:p w14:paraId="4F1327F8" w14:textId="77777777" w:rsidR="00600535" w:rsidRPr="00B57B36" w:rsidRDefault="00600535" w:rsidP="00600535">
      <w:pPr>
        <w:pStyle w:val="CETReference"/>
      </w:pPr>
      <w:r w:rsidRPr="00B57B36">
        <w:t>References</w:t>
      </w:r>
    </w:p>
    <w:p w14:paraId="3282242A" w14:textId="77777777" w:rsidR="00586648" w:rsidRPr="00586648" w:rsidRDefault="00586648" w:rsidP="00586648">
      <w:pPr>
        <w:pStyle w:val="CETBodytext"/>
        <w:ind w:left="284" w:hanging="284"/>
      </w:pPr>
      <w:r w:rsidRPr="00586648">
        <w:t>Eshmurodov, S. 2026. Technical Assignment for the Project on Developing a Technological Methodology for Separating CO</w:t>
      </w:r>
      <w:r w:rsidRPr="00586648">
        <w:rPr>
          <w:rFonts w:ascii="Cambria Math" w:hAnsi="Cambria Math" w:cs="Cambria Math"/>
        </w:rPr>
        <w:t>₂</w:t>
      </w:r>
      <w:r w:rsidRPr="00586648">
        <w:t xml:space="preserve"> from Acid Gases Generated in the Production Processes of Shurtan Gas Chemical Complex LLC. Technical Assignment, Shurtan Gas Chemical Complex, Uzbekistan.</w:t>
      </w:r>
    </w:p>
    <w:p w14:paraId="45B23474" w14:textId="77777777" w:rsidR="00586648" w:rsidRPr="00586648" w:rsidRDefault="00586648" w:rsidP="00586648">
      <w:pPr>
        <w:pStyle w:val="CETBodytext"/>
        <w:ind w:left="284" w:hanging="284"/>
      </w:pPr>
      <w:r w:rsidRPr="00586648">
        <w:t>Likkasith, C., Saebea, D., Arpornwichanop, A., Piemnernkoom, N., Patcharavorachot, Y. 2014. Simulation of hydrogen production with in situ CO</w:t>
      </w:r>
      <w:r w:rsidRPr="00586648">
        <w:rPr>
          <w:rFonts w:ascii="Cambria Math" w:hAnsi="Cambria Math" w:cs="Cambria Math"/>
        </w:rPr>
        <w:t>₂</w:t>
      </w:r>
      <w:r w:rsidRPr="00586648">
        <w:t xml:space="preserve"> removal using Aspen Plus. Chemical Engineering Transactions, 39, 415-420. DOI: 10.3303/CET1439070.</w:t>
      </w:r>
    </w:p>
    <w:p w14:paraId="60930DC5" w14:textId="77777777" w:rsidR="00586648" w:rsidRPr="00586648" w:rsidRDefault="00586648" w:rsidP="00586648">
      <w:pPr>
        <w:pStyle w:val="CETBodytext"/>
        <w:ind w:left="284" w:hanging="284"/>
      </w:pPr>
      <w:r w:rsidRPr="00586648">
        <w:t>Peeters, W., Neerup, R., Fosbøl, P.L. 2025. Solvent degradation and influences on amine-based carbon capture operations. International Journal of Greenhouse Gas Control, 147, 104500. DOI: 10.1016/j.ijggc.2025.104500.</w:t>
      </w:r>
    </w:p>
    <w:p w14:paraId="04843149" w14:textId="77777777" w:rsidR="00586648" w:rsidRPr="00586648" w:rsidRDefault="00586648" w:rsidP="00586648">
      <w:pPr>
        <w:pStyle w:val="CETBodytext"/>
        <w:ind w:left="284" w:hanging="284"/>
      </w:pPr>
      <w:r w:rsidRPr="00586648">
        <w:t>Peng, D.Y., Robinson, D.B. 1976. A new two-constant equation of state. Industrial &amp; Engineering Chemistry Fundamentals, 15(1), 59-64. DOI: 10.1021/i160057a011.</w:t>
      </w:r>
    </w:p>
    <w:p w14:paraId="5E637484" w14:textId="77777777" w:rsidR="00586648" w:rsidRPr="00586648" w:rsidRDefault="00586648" w:rsidP="00586648">
      <w:pPr>
        <w:pStyle w:val="CETBodytext"/>
        <w:ind w:left="284" w:hanging="284"/>
      </w:pPr>
      <w:r w:rsidRPr="00586648">
        <w:t>Turakulov, Z., Kamolov, A., Norkobilov, A., Variny, M., Fallanza, M. 2024. Enhancing sustainability and energy savings in cement production via waste heat recovery. Engineering Proceedings, 67, 11. DOI: 10.3390/engproc2024067011.</w:t>
      </w:r>
    </w:p>
    <w:p w14:paraId="2879D23B" w14:textId="77777777" w:rsidR="00586648" w:rsidRPr="00586648" w:rsidRDefault="00586648" w:rsidP="00586648">
      <w:pPr>
        <w:pStyle w:val="CETBodytext"/>
        <w:ind w:left="284" w:hanging="284"/>
      </w:pPr>
      <w:r w:rsidRPr="00586648">
        <w:t>Verma, N., Verma, A. 2009. Amine system problems arising from heat stable salts and solutions to improve system performance. Fuel Processing Technology, 90(4), 483-489. DOI: 10.1016/j.fuproc.2009.02.002.</w:t>
      </w:r>
    </w:p>
    <w:p w14:paraId="6482F8F3" w14:textId="77777777" w:rsidR="00586648" w:rsidRPr="00586648" w:rsidRDefault="00586648" w:rsidP="00586648">
      <w:pPr>
        <w:pStyle w:val="CETBodytext"/>
        <w:ind w:left="284" w:hanging="284"/>
        <w:rPr>
          <w:lang w:val="ru-RU"/>
        </w:rPr>
      </w:pPr>
      <w:r w:rsidRPr="00586648">
        <w:t>Yehya, R., Abou Sharaf, N., Riachi, B., Assaf, J.C., Hamd, W. 2025. A novel integrated simulation approach for natural gas sweetening and dehydration: H</w:t>
      </w:r>
      <w:r w:rsidRPr="00586648">
        <w:rPr>
          <w:rFonts w:ascii="Cambria Math" w:hAnsi="Cambria Math" w:cs="Cambria Math"/>
        </w:rPr>
        <w:t>₂</w:t>
      </w:r>
      <w:r w:rsidRPr="00586648">
        <w:t>S, CO</w:t>
      </w:r>
      <w:r w:rsidRPr="00586648">
        <w:rPr>
          <w:rFonts w:ascii="Cambria Math" w:hAnsi="Cambria Math" w:cs="Cambria Math"/>
        </w:rPr>
        <w:t>₂</w:t>
      </w:r>
      <w:r w:rsidRPr="00586648">
        <w:t>, and H</w:t>
      </w:r>
      <w:r w:rsidRPr="00586648">
        <w:rPr>
          <w:rFonts w:ascii="Cambria Math" w:hAnsi="Cambria Math" w:cs="Cambria Math"/>
        </w:rPr>
        <w:t>₂</w:t>
      </w:r>
      <w:r w:rsidRPr="00586648">
        <w:t xml:space="preserve">O removal with energy optimization using Aspen HYSYS. </w:t>
      </w:r>
      <w:r w:rsidRPr="00586648">
        <w:rPr>
          <w:lang w:val="ru-RU"/>
        </w:rPr>
        <w:t>Results in Engineering, 28, 107972. DOI: 10.1016/j.rineng.2025.107972.</w:t>
      </w:r>
    </w:p>
    <w:p w14:paraId="19C4FC68" w14:textId="08C21DCE" w:rsidR="004628D2" w:rsidRPr="0046419A" w:rsidRDefault="004628D2" w:rsidP="0046419A">
      <w:pPr>
        <w:pStyle w:val="CETBodytext"/>
        <w:spacing w:line="240" w:lineRule="auto"/>
        <w:rPr>
          <w:lang w:val="en-GB"/>
        </w:rPr>
      </w:pPr>
    </w:p>
    <w:sectPr w:rsidR="004628D2" w:rsidRPr="0046419A" w:rsidSect="008314D7">
      <w:type w:val="continuous"/>
      <w:pgSz w:w="11906" w:h="16838" w:code="9"/>
      <w:pgMar w:top="1701" w:right="1418" w:bottom="1701" w:left="1701" w:header="1701" w:footer="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E3F97D" w14:textId="77777777" w:rsidR="00B663C4" w:rsidRDefault="00B663C4" w:rsidP="004F5E36">
      <w:r>
        <w:separator/>
      </w:r>
    </w:p>
  </w:endnote>
  <w:endnote w:type="continuationSeparator" w:id="0">
    <w:p w14:paraId="66256614" w14:textId="77777777" w:rsidR="00B663C4" w:rsidRDefault="00B663C4" w:rsidP="004F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dvP6960">
    <w:altName w:val="Times New Roman"/>
    <w:panose1 w:val="00000000000000000000"/>
    <w:charset w:val="4D"/>
    <w:family w:val="roman"/>
    <w:notTrueType/>
    <w:pitch w:val="default"/>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5AF133" w14:textId="77777777" w:rsidR="00B663C4" w:rsidRDefault="00B663C4" w:rsidP="004F5E36">
      <w:r>
        <w:separator/>
      </w:r>
    </w:p>
  </w:footnote>
  <w:footnote w:type="continuationSeparator" w:id="0">
    <w:p w14:paraId="41F9ADCE" w14:textId="77777777" w:rsidR="00B663C4" w:rsidRDefault="00B663C4" w:rsidP="004F5E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58AF15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5EC884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8CBE9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FC0B38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A34EB4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5C6BD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7A996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D279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F4206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06ACE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438217E"/>
    <w:multiLevelType w:val="multilevel"/>
    <w:tmpl w:val="F17228D6"/>
    <w:lvl w:ilvl="0">
      <w:start w:val="1"/>
      <w:numFmt w:val="decimal"/>
      <w:suff w:val="space"/>
      <w:lvlText w:val="Chapter %1"/>
      <w:lvlJc w:val="left"/>
      <w:pPr>
        <w:ind w:left="0" w:firstLine="0"/>
      </w:pPr>
      <w:rPr>
        <w:rFonts w:hint="default"/>
      </w:rPr>
    </w:lvl>
    <w:lvl w:ilvl="1">
      <w:start w:val="1"/>
      <w:numFmt w:val="decimal"/>
      <w:pStyle w:val="CETHeading1"/>
      <w:suff w:val="space"/>
      <w:lvlText w:val="%2."/>
      <w:lvlJc w:val="left"/>
      <w:pPr>
        <w:ind w:left="0" w:firstLine="0"/>
      </w:pPr>
      <w:rPr>
        <w:rFonts w:hint="default"/>
      </w:rPr>
    </w:lvl>
    <w:lvl w:ilvl="2">
      <w:start w:val="1"/>
      <w:numFmt w:val="decimal"/>
      <w:pStyle w:val="CETheadingx"/>
      <w:suff w:val="space"/>
      <w:lvlText w:val="%2.%3"/>
      <w:lvlJc w:val="left"/>
      <w:pPr>
        <w:ind w:left="0" w:firstLine="0"/>
      </w:pPr>
      <w:rPr>
        <w:rFonts w:hint="default"/>
      </w:rPr>
    </w:lvl>
    <w:lvl w:ilvl="3">
      <w:start w:val="1"/>
      <w:numFmt w:val="decimal"/>
      <w:pStyle w:val="TableSimple1"/>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1" w15:restartNumberingAfterBreak="0">
    <w:nsid w:val="330B7370"/>
    <w:multiLevelType w:val="hybridMultilevel"/>
    <w:tmpl w:val="12E2AD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51E0394"/>
    <w:multiLevelType w:val="hybridMultilevel"/>
    <w:tmpl w:val="806658E2"/>
    <w:lvl w:ilvl="0" w:tplc="14B0F7A8">
      <w:start w:val="1"/>
      <w:numFmt w:val="bullet"/>
      <w:pStyle w:val="CETnumberingbullets"/>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9C329B9"/>
    <w:multiLevelType w:val="hybridMultilevel"/>
    <w:tmpl w:val="A2E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B100E8"/>
    <w:multiLevelType w:val="hybridMultilevel"/>
    <w:tmpl w:val="6F34C070"/>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50A87BA7"/>
    <w:multiLevelType w:val="hybridMultilevel"/>
    <w:tmpl w:val="1F6A8AD4"/>
    <w:lvl w:ilvl="0" w:tplc="14B0F7A8">
      <w:start w:val="1"/>
      <w:numFmt w:val="bullet"/>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2217387"/>
    <w:multiLevelType w:val="hybridMultilevel"/>
    <w:tmpl w:val="C2AE185A"/>
    <w:lvl w:ilvl="0" w:tplc="14090011">
      <w:start w:val="1"/>
      <w:numFmt w:val="decimal"/>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6205803"/>
    <w:multiLevelType w:val="multilevel"/>
    <w:tmpl w:val="444C89D0"/>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8" w15:restartNumberingAfterBreak="0">
    <w:nsid w:val="5AD311D0"/>
    <w:multiLevelType w:val="hybridMultilevel"/>
    <w:tmpl w:val="F198FF08"/>
    <w:lvl w:ilvl="0" w:tplc="62EA088C">
      <w:start w:val="1"/>
      <w:numFmt w:val="decimal"/>
      <w:pStyle w:val="CETnumbering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62015B5"/>
    <w:multiLevelType w:val="hybridMultilevel"/>
    <w:tmpl w:val="CCDE09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6865266D"/>
    <w:multiLevelType w:val="hybridMultilevel"/>
    <w:tmpl w:val="F5BE3C4A"/>
    <w:lvl w:ilvl="0" w:tplc="9FC4D28C">
      <w:start w:val="1"/>
      <w:numFmt w:val="lowerLetter"/>
      <w:pStyle w:val="CETnumberinga"/>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3"/>
  </w:num>
  <w:num w:numId="4">
    <w:abstractNumId w:val="2"/>
  </w:num>
  <w:num w:numId="5">
    <w:abstractNumId w:val="1"/>
  </w:num>
  <w:num w:numId="6">
    <w:abstractNumId w:val="0"/>
  </w:num>
  <w:num w:numId="7">
    <w:abstractNumId w:val="9"/>
  </w:num>
  <w:num w:numId="8">
    <w:abstractNumId w:val="7"/>
  </w:num>
  <w:num w:numId="9">
    <w:abstractNumId w:val="6"/>
  </w:num>
  <w:num w:numId="10">
    <w:abstractNumId w:val="5"/>
  </w:num>
  <w:num w:numId="11">
    <w:abstractNumId w:val="4"/>
  </w:num>
  <w:num w:numId="12">
    <w:abstractNumId w:val="17"/>
  </w:num>
  <w:num w:numId="13">
    <w:abstractNumId w:val="12"/>
  </w:num>
  <w:num w:numId="14">
    <w:abstractNumId w:val="18"/>
  </w:num>
  <w:num w:numId="15">
    <w:abstractNumId w:val="20"/>
  </w:num>
  <w:num w:numId="16">
    <w:abstractNumId w:val="19"/>
  </w:num>
  <w:num w:numId="17">
    <w:abstractNumId w:val="11"/>
  </w:num>
  <w:num w:numId="18">
    <w:abstractNumId w:val="12"/>
    <w:lvlOverride w:ilvl="0">
      <w:startOverride w:val="1"/>
    </w:lvlOverride>
  </w:num>
  <w:num w:numId="19">
    <w:abstractNumId w:val="16"/>
  </w:num>
  <w:num w:numId="20">
    <w:abstractNumId w:val="15"/>
  </w:num>
  <w:num w:numId="21">
    <w:abstractNumId w:val="14"/>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0"/>
  <w:autoFormatOverride/>
  <w:styleLockTheme/>
  <w:styleLockQFSet/>
  <w:defaultTabStop w:val="708"/>
  <w:hyphenationZone w:val="283"/>
  <w:clickAndTypeStyle w:val="CETBodytext"/>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I0NzezsDA3M7MwMTJW0lEKTi0uzszPAymwrAUAugS3IywAAAA="/>
  </w:docVars>
  <w:rsids>
    <w:rsidRoot w:val="000E414A"/>
    <w:rsid w:val="000027C0"/>
    <w:rsid w:val="000052FB"/>
    <w:rsid w:val="00005884"/>
    <w:rsid w:val="00005A19"/>
    <w:rsid w:val="000117CB"/>
    <w:rsid w:val="000173F9"/>
    <w:rsid w:val="0003148D"/>
    <w:rsid w:val="00031EEC"/>
    <w:rsid w:val="00051566"/>
    <w:rsid w:val="000562A9"/>
    <w:rsid w:val="00062A9A"/>
    <w:rsid w:val="00065058"/>
    <w:rsid w:val="00086C39"/>
    <w:rsid w:val="000A03B2"/>
    <w:rsid w:val="000D0268"/>
    <w:rsid w:val="000D34BE"/>
    <w:rsid w:val="000E102F"/>
    <w:rsid w:val="000E36F1"/>
    <w:rsid w:val="000E3A73"/>
    <w:rsid w:val="000E414A"/>
    <w:rsid w:val="000E75FD"/>
    <w:rsid w:val="000F093C"/>
    <w:rsid w:val="000F787B"/>
    <w:rsid w:val="00101F02"/>
    <w:rsid w:val="0012091F"/>
    <w:rsid w:val="00124AAD"/>
    <w:rsid w:val="00126BC2"/>
    <w:rsid w:val="001308B6"/>
    <w:rsid w:val="0013121F"/>
    <w:rsid w:val="00131FE6"/>
    <w:rsid w:val="0013263F"/>
    <w:rsid w:val="001331DF"/>
    <w:rsid w:val="00134DE4"/>
    <w:rsid w:val="0014034D"/>
    <w:rsid w:val="00140FE3"/>
    <w:rsid w:val="00144D16"/>
    <w:rsid w:val="00150E59"/>
    <w:rsid w:val="00152DE3"/>
    <w:rsid w:val="00164CF9"/>
    <w:rsid w:val="001667A6"/>
    <w:rsid w:val="00184AD6"/>
    <w:rsid w:val="001A4AF7"/>
    <w:rsid w:val="001A55E0"/>
    <w:rsid w:val="001B0349"/>
    <w:rsid w:val="001B1E93"/>
    <w:rsid w:val="001B501D"/>
    <w:rsid w:val="001B65C1"/>
    <w:rsid w:val="001C2117"/>
    <w:rsid w:val="001C260F"/>
    <w:rsid w:val="001C33F1"/>
    <w:rsid w:val="001C684B"/>
    <w:rsid w:val="001D0CFB"/>
    <w:rsid w:val="001D21AF"/>
    <w:rsid w:val="001D53FC"/>
    <w:rsid w:val="001F42A5"/>
    <w:rsid w:val="001F7B9D"/>
    <w:rsid w:val="00201C93"/>
    <w:rsid w:val="002224B4"/>
    <w:rsid w:val="00234334"/>
    <w:rsid w:val="002447EF"/>
    <w:rsid w:val="00251550"/>
    <w:rsid w:val="00263B05"/>
    <w:rsid w:val="0027221A"/>
    <w:rsid w:val="00275B61"/>
    <w:rsid w:val="00280FAF"/>
    <w:rsid w:val="00282656"/>
    <w:rsid w:val="00296B83"/>
    <w:rsid w:val="002B4015"/>
    <w:rsid w:val="002B78CE"/>
    <w:rsid w:val="002C2FB6"/>
    <w:rsid w:val="002E5FA7"/>
    <w:rsid w:val="002F3309"/>
    <w:rsid w:val="003008CE"/>
    <w:rsid w:val="003009B7"/>
    <w:rsid w:val="00300E56"/>
    <w:rsid w:val="0030152C"/>
    <w:rsid w:val="0030469C"/>
    <w:rsid w:val="00305F19"/>
    <w:rsid w:val="00321CA6"/>
    <w:rsid w:val="00323763"/>
    <w:rsid w:val="00323C5F"/>
    <w:rsid w:val="00334C09"/>
    <w:rsid w:val="003723D4"/>
    <w:rsid w:val="00381905"/>
    <w:rsid w:val="00384CC8"/>
    <w:rsid w:val="003871FD"/>
    <w:rsid w:val="003A1E30"/>
    <w:rsid w:val="003A2829"/>
    <w:rsid w:val="003A7D1C"/>
    <w:rsid w:val="003B304B"/>
    <w:rsid w:val="003B3146"/>
    <w:rsid w:val="003D1E02"/>
    <w:rsid w:val="003F015E"/>
    <w:rsid w:val="00400414"/>
    <w:rsid w:val="0041446B"/>
    <w:rsid w:val="00420568"/>
    <w:rsid w:val="00422552"/>
    <w:rsid w:val="0044071E"/>
    <w:rsid w:val="0044329C"/>
    <w:rsid w:val="00453E24"/>
    <w:rsid w:val="00457456"/>
    <w:rsid w:val="004577FE"/>
    <w:rsid w:val="00457B9C"/>
    <w:rsid w:val="0046164A"/>
    <w:rsid w:val="004628D2"/>
    <w:rsid w:val="00462DCD"/>
    <w:rsid w:val="0046419A"/>
    <w:rsid w:val="004648AD"/>
    <w:rsid w:val="004703A9"/>
    <w:rsid w:val="004760DE"/>
    <w:rsid w:val="004763D7"/>
    <w:rsid w:val="004A004E"/>
    <w:rsid w:val="004A24CF"/>
    <w:rsid w:val="004A5E57"/>
    <w:rsid w:val="004C194F"/>
    <w:rsid w:val="004C3D1D"/>
    <w:rsid w:val="004C3D84"/>
    <w:rsid w:val="004C7913"/>
    <w:rsid w:val="004E4DD6"/>
    <w:rsid w:val="004F5E36"/>
    <w:rsid w:val="00507B47"/>
    <w:rsid w:val="00507BEF"/>
    <w:rsid w:val="00507CC9"/>
    <w:rsid w:val="005119A5"/>
    <w:rsid w:val="005278B7"/>
    <w:rsid w:val="00532016"/>
    <w:rsid w:val="005346C8"/>
    <w:rsid w:val="00543E7D"/>
    <w:rsid w:val="00547A68"/>
    <w:rsid w:val="005531C9"/>
    <w:rsid w:val="00570C43"/>
    <w:rsid w:val="00586648"/>
    <w:rsid w:val="00592274"/>
    <w:rsid w:val="005B2110"/>
    <w:rsid w:val="005B61E6"/>
    <w:rsid w:val="005C77E1"/>
    <w:rsid w:val="005D668A"/>
    <w:rsid w:val="005D6A2F"/>
    <w:rsid w:val="005E0592"/>
    <w:rsid w:val="005E1A82"/>
    <w:rsid w:val="005E794C"/>
    <w:rsid w:val="005F0A28"/>
    <w:rsid w:val="005F0E5E"/>
    <w:rsid w:val="00600535"/>
    <w:rsid w:val="00610CD6"/>
    <w:rsid w:val="00620DEE"/>
    <w:rsid w:val="00621F92"/>
    <w:rsid w:val="0062280A"/>
    <w:rsid w:val="006231E1"/>
    <w:rsid w:val="00625639"/>
    <w:rsid w:val="00631B33"/>
    <w:rsid w:val="0064184D"/>
    <w:rsid w:val="006422CC"/>
    <w:rsid w:val="00651D18"/>
    <w:rsid w:val="00660A62"/>
    <w:rsid w:val="00660E3E"/>
    <w:rsid w:val="00662E74"/>
    <w:rsid w:val="00664E27"/>
    <w:rsid w:val="00664F9F"/>
    <w:rsid w:val="00665619"/>
    <w:rsid w:val="00680C23"/>
    <w:rsid w:val="00683E23"/>
    <w:rsid w:val="00693766"/>
    <w:rsid w:val="006A3281"/>
    <w:rsid w:val="006B4888"/>
    <w:rsid w:val="006C2E45"/>
    <w:rsid w:val="006C359C"/>
    <w:rsid w:val="006C5579"/>
    <w:rsid w:val="006D6E8B"/>
    <w:rsid w:val="006D7209"/>
    <w:rsid w:val="006E737D"/>
    <w:rsid w:val="00707DD1"/>
    <w:rsid w:val="00713973"/>
    <w:rsid w:val="00720A24"/>
    <w:rsid w:val="00730B17"/>
    <w:rsid w:val="00732386"/>
    <w:rsid w:val="0073514D"/>
    <w:rsid w:val="007447F3"/>
    <w:rsid w:val="0075499F"/>
    <w:rsid w:val="00754BD2"/>
    <w:rsid w:val="007617CC"/>
    <w:rsid w:val="00765DF0"/>
    <w:rsid w:val="007661C8"/>
    <w:rsid w:val="0077098D"/>
    <w:rsid w:val="00785BF9"/>
    <w:rsid w:val="007931FA"/>
    <w:rsid w:val="007A4861"/>
    <w:rsid w:val="007A7BBA"/>
    <w:rsid w:val="007B0C50"/>
    <w:rsid w:val="007B48F9"/>
    <w:rsid w:val="007C1A43"/>
    <w:rsid w:val="007D0951"/>
    <w:rsid w:val="007D5D5C"/>
    <w:rsid w:val="007F27C8"/>
    <w:rsid w:val="0080013E"/>
    <w:rsid w:val="00813288"/>
    <w:rsid w:val="008168FC"/>
    <w:rsid w:val="00830996"/>
    <w:rsid w:val="008314D7"/>
    <w:rsid w:val="008345F1"/>
    <w:rsid w:val="00865B07"/>
    <w:rsid w:val="008667EA"/>
    <w:rsid w:val="0087637F"/>
    <w:rsid w:val="00892AD5"/>
    <w:rsid w:val="008A1512"/>
    <w:rsid w:val="008B7706"/>
    <w:rsid w:val="008D32B9"/>
    <w:rsid w:val="008D433B"/>
    <w:rsid w:val="008D4A16"/>
    <w:rsid w:val="008E209A"/>
    <w:rsid w:val="008E45BC"/>
    <w:rsid w:val="008E566E"/>
    <w:rsid w:val="0090161A"/>
    <w:rsid w:val="00901EB6"/>
    <w:rsid w:val="009041F8"/>
    <w:rsid w:val="00904C62"/>
    <w:rsid w:val="00922BA8"/>
    <w:rsid w:val="00924DAC"/>
    <w:rsid w:val="00927058"/>
    <w:rsid w:val="00942750"/>
    <w:rsid w:val="009450CE"/>
    <w:rsid w:val="009459BB"/>
    <w:rsid w:val="00947179"/>
    <w:rsid w:val="0095164B"/>
    <w:rsid w:val="00954090"/>
    <w:rsid w:val="009573E7"/>
    <w:rsid w:val="00963E05"/>
    <w:rsid w:val="00964A45"/>
    <w:rsid w:val="00967843"/>
    <w:rsid w:val="00967D54"/>
    <w:rsid w:val="00971028"/>
    <w:rsid w:val="00992D92"/>
    <w:rsid w:val="00993B84"/>
    <w:rsid w:val="00996483"/>
    <w:rsid w:val="00996F5A"/>
    <w:rsid w:val="009B041A"/>
    <w:rsid w:val="009C37C3"/>
    <w:rsid w:val="009C7C86"/>
    <w:rsid w:val="009D2FF7"/>
    <w:rsid w:val="009E7884"/>
    <w:rsid w:val="009E788A"/>
    <w:rsid w:val="009F0E08"/>
    <w:rsid w:val="00A079AE"/>
    <w:rsid w:val="00A1763D"/>
    <w:rsid w:val="00A17CEC"/>
    <w:rsid w:val="00A26CBB"/>
    <w:rsid w:val="00A27EF0"/>
    <w:rsid w:val="00A42361"/>
    <w:rsid w:val="00A50B20"/>
    <w:rsid w:val="00A51390"/>
    <w:rsid w:val="00A60D13"/>
    <w:rsid w:val="00A7223D"/>
    <w:rsid w:val="00A72745"/>
    <w:rsid w:val="00A76EFC"/>
    <w:rsid w:val="00A87D50"/>
    <w:rsid w:val="00A91010"/>
    <w:rsid w:val="00A97F29"/>
    <w:rsid w:val="00AA702E"/>
    <w:rsid w:val="00AA7D26"/>
    <w:rsid w:val="00AB0964"/>
    <w:rsid w:val="00AB5011"/>
    <w:rsid w:val="00AC7368"/>
    <w:rsid w:val="00AD0278"/>
    <w:rsid w:val="00AD16B9"/>
    <w:rsid w:val="00AE377D"/>
    <w:rsid w:val="00AF0EBA"/>
    <w:rsid w:val="00B02C8A"/>
    <w:rsid w:val="00B17FBD"/>
    <w:rsid w:val="00B315A6"/>
    <w:rsid w:val="00B31813"/>
    <w:rsid w:val="00B33365"/>
    <w:rsid w:val="00B57B36"/>
    <w:rsid w:val="00B57E6F"/>
    <w:rsid w:val="00B663C4"/>
    <w:rsid w:val="00B8686D"/>
    <w:rsid w:val="00B93F69"/>
    <w:rsid w:val="00BB1DDC"/>
    <w:rsid w:val="00BC30C9"/>
    <w:rsid w:val="00BC7751"/>
    <w:rsid w:val="00BD077D"/>
    <w:rsid w:val="00BE3E58"/>
    <w:rsid w:val="00C01616"/>
    <w:rsid w:val="00C0162B"/>
    <w:rsid w:val="00C068ED"/>
    <w:rsid w:val="00C208E9"/>
    <w:rsid w:val="00C22E0C"/>
    <w:rsid w:val="00C345B1"/>
    <w:rsid w:val="00C40142"/>
    <w:rsid w:val="00C52C3C"/>
    <w:rsid w:val="00C57182"/>
    <w:rsid w:val="00C57863"/>
    <w:rsid w:val="00C640AF"/>
    <w:rsid w:val="00C655FD"/>
    <w:rsid w:val="00C75407"/>
    <w:rsid w:val="00C841C6"/>
    <w:rsid w:val="00C870A8"/>
    <w:rsid w:val="00C94434"/>
    <w:rsid w:val="00CA0D75"/>
    <w:rsid w:val="00CA1C95"/>
    <w:rsid w:val="00CA5A9C"/>
    <w:rsid w:val="00CB2614"/>
    <w:rsid w:val="00CC2CC1"/>
    <w:rsid w:val="00CC4C20"/>
    <w:rsid w:val="00CD3517"/>
    <w:rsid w:val="00CD5FE2"/>
    <w:rsid w:val="00CE7C68"/>
    <w:rsid w:val="00D02B4C"/>
    <w:rsid w:val="00D040C4"/>
    <w:rsid w:val="00D20AD1"/>
    <w:rsid w:val="00D2582C"/>
    <w:rsid w:val="00D46B7E"/>
    <w:rsid w:val="00D57C84"/>
    <w:rsid w:val="00D6057D"/>
    <w:rsid w:val="00D71640"/>
    <w:rsid w:val="00D836C5"/>
    <w:rsid w:val="00D84576"/>
    <w:rsid w:val="00DA1399"/>
    <w:rsid w:val="00DA24C6"/>
    <w:rsid w:val="00DA4D7B"/>
    <w:rsid w:val="00DD271C"/>
    <w:rsid w:val="00DE264A"/>
    <w:rsid w:val="00DF5072"/>
    <w:rsid w:val="00E02D18"/>
    <w:rsid w:val="00E041E7"/>
    <w:rsid w:val="00E23CA1"/>
    <w:rsid w:val="00E409A8"/>
    <w:rsid w:val="00E47D61"/>
    <w:rsid w:val="00E50C12"/>
    <w:rsid w:val="00E65B91"/>
    <w:rsid w:val="00E7209D"/>
    <w:rsid w:val="00E72EAD"/>
    <w:rsid w:val="00E77223"/>
    <w:rsid w:val="00E8528B"/>
    <w:rsid w:val="00E85B94"/>
    <w:rsid w:val="00E978D0"/>
    <w:rsid w:val="00EA4613"/>
    <w:rsid w:val="00EA7F91"/>
    <w:rsid w:val="00EB1523"/>
    <w:rsid w:val="00EC0E49"/>
    <w:rsid w:val="00EC101F"/>
    <w:rsid w:val="00EC1D9F"/>
    <w:rsid w:val="00EE0131"/>
    <w:rsid w:val="00EE17B0"/>
    <w:rsid w:val="00EF06D9"/>
    <w:rsid w:val="00EF0982"/>
    <w:rsid w:val="00F126A5"/>
    <w:rsid w:val="00F25D6C"/>
    <w:rsid w:val="00F269ED"/>
    <w:rsid w:val="00F3049E"/>
    <w:rsid w:val="00F306F6"/>
    <w:rsid w:val="00F30C64"/>
    <w:rsid w:val="00F32BA2"/>
    <w:rsid w:val="00F32CDB"/>
    <w:rsid w:val="00F3348F"/>
    <w:rsid w:val="00F37280"/>
    <w:rsid w:val="00F41EE4"/>
    <w:rsid w:val="00F565FE"/>
    <w:rsid w:val="00F63A70"/>
    <w:rsid w:val="00F63D8C"/>
    <w:rsid w:val="00F7534E"/>
    <w:rsid w:val="00F92002"/>
    <w:rsid w:val="00F93EDF"/>
    <w:rsid w:val="00FA1802"/>
    <w:rsid w:val="00FA21D0"/>
    <w:rsid w:val="00FA5F5F"/>
    <w:rsid w:val="00FB730C"/>
    <w:rsid w:val="00FC2695"/>
    <w:rsid w:val="00FC3E03"/>
    <w:rsid w:val="00FC3FC1"/>
    <w:rsid w:val="00FD0BEC"/>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E0CC22"/>
  <w14:defaultImageDpi w14:val="330"/>
  <w15:docId w15:val="{0B95FB59-9D38-42B5-B090-D2348EE1E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CET Top_page"/>
    <w:rsid w:val="00620DEE"/>
    <w:pPr>
      <w:tabs>
        <w:tab w:val="right" w:pos="7100"/>
      </w:tabs>
      <w:spacing w:after="0" w:line="264" w:lineRule="auto"/>
      <w:jc w:val="both"/>
    </w:pPr>
    <w:rPr>
      <w:rFonts w:ascii="Arial" w:eastAsia="Times New Roman" w:hAnsi="Arial" w:cs="Times New Roman"/>
      <w:sz w:val="18"/>
      <w:szCs w:val="20"/>
      <w:lang w:val="en-GB"/>
    </w:rPr>
  </w:style>
  <w:style w:type="paragraph" w:styleId="Heading1">
    <w:name w:val="heading 1"/>
    <w:basedOn w:val="CETHeading1"/>
    <w:next w:val="Normal"/>
    <w:link w:val="Heading1Char"/>
    <w:uiPriority w:val="9"/>
    <w:rsid w:val="004F5E36"/>
    <w:pPr>
      <w:tabs>
        <w:tab w:val="clear" w:pos="360"/>
        <w:tab w:val="right" w:pos="7100"/>
      </w:tabs>
      <w:jc w:val="both"/>
      <w:outlineLvl w:val="0"/>
    </w:pPr>
    <w:rPr>
      <w:lang w:val="en-GB"/>
    </w:rPr>
  </w:style>
  <w:style w:type="paragraph" w:styleId="Heading2">
    <w:name w:val="heading 2"/>
    <w:basedOn w:val="Normal"/>
    <w:next w:val="Normal"/>
    <w:link w:val="Heading2Char"/>
    <w:uiPriority w:val="9"/>
    <w:semiHidden/>
    <w:unhideWhenUsed/>
    <w:qFormat/>
    <w:rsid w:val="000314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3148D"/>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03148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03148D"/>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03148D"/>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03148D"/>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03148D"/>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unhideWhenUsed/>
    <w:qFormat/>
    <w:rsid w:val="0003148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TAuthors">
    <w:name w:val="CET Authors"/>
    <w:basedOn w:val="CETBodytext"/>
    <w:link w:val="CETAuthorsCarattere"/>
    <w:qFormat/>
    <w:rsid w:val="000E414A"/>
    <w:pPr>
      <w:keepNext/>
      <w:suppressAutoHyphens/>
      <w:spacing w:after="120"/>
    </w:pPr>
    <w:rPr>
      <w:noProof/>
      <w:sz w:val="24"/>
      <w:lang w:val="en-GB"/>
    </w:rPr>
  </w:style>
  <w:style w:type="paragraph" w:customStyle="1" w:styleId="CETTitle">
    <w:name w:val="CET Title"/>
    <w:next w:val="CETAuthors"/>
    <w:link w:val="CETTitleCarattere"/>
    <w:rsid w:val="00FB730C"/>
    <w:pPr>
      <w:suppressAutoHyphens/>
      <w:spacing w:before="480" w:after="120" w:line="264" w:lineRule="auto"/>
      <w:jc w:val="center"/>
      <w:outlineLvl w:val="0"/>
    </w:pPr>
    <w:rPr>
      <w:rFonts w:ascii="Arial" w:eastAsia="Times New Roman" w:hAnsi="Arial" w:cs="Times New Roman"/>
      <w:sz w:val="32"/>
      <w:szCs w:val="20"/>
      <w:lang w:val="en-GB"/>
    </w:rPr>
  </w:style>
  <w:style w:type="character" w:customStyle="1" w:styleId="CETAuthorsCarattere">
    <w:name w:val="CET Authors Carattere"/>
    <w:link w:val="CETAuthors"/>
    <w:rsid w:val="009E788A"/>
    <w:rPr>
      <w:rFonts w:ascii="Arial" w:eastAsia="Times New Roman" w:hAnsi="Arial" w:cs="Times New Roman"/>
      <w:noProof/>
      <w:sz w:val="24"/>
      <w:szCs w:val="20"/>
      <w:lang w:val="en-GB"/>
    </w:rPr>
  </w:style>
  <w:style w:type="character" w:customStyle="1" w:styleId="CETTitleCarattere">
    <w:name w:val="CET Title Carattere"/>
    <w:link w:val="CETTitle"/>
    <w:rsid w:val="00FB730C"/>
    <w:rPr>
      <w:rFonts w:ascii="Arial" w:eastAsia="Times New Roman" w:hAnsi="Arial" w:cs="Times New Roman"/>
      <w:sz w:val="32"/>
      <w:szCs w:val="20"/>
      <w:lang w:val="en-GB"/>
    </w:rPr>
  </w:style>
  <w:style w:type="paragraph" w:customStyle="1" w:styleId="CETHeading1">
    <w:name w:val="CET Heading1"/>
    <w:next w:val="CETBodytext"/>
    <w:qFormat/>
    <w:rsid w:val="009E788A"/>
    <w:pPr>
      <w:keepNext/>
      <w:numPr>
        <w:ilvl w:val="1"/>
        <w:numId w:val="1"/>
      </w:numPr>
      <w:tabs>
        <w:tab w:val="num" w:pos="360"/>
      </w:tabs>
      <w:suppressAutoHyphens/>
      <w:spacing w:before="240" w:after="120" w:line="240" w:lineRule="auto"/>
    </w:pPr>
    <w:rPr>
      <w:rFonts w:ascii="Arial" w:eastAsia="Times New Roman" w:hAnsi="Arial" w:cs="Times New Roman"/>
      <w:b/>
      <w:sz w:val="20"/>
      <w:szCs w:val="20"/>
      <w:lang w:val="en-US"/>
    </w:rPr>
  </w:style>
  <w:style w:type="paragraph" w:customStyle="1" w:styleId="CETBodytext">
    <w:name w:val="CET Body text"/>
    <w:link w:val="CETBodytextCarattere"/>
    <w:qFormat/>
    <w:rsid w:val="000E414A"/>
    <w:pPr>
      <w:tabs>
        <w:tab w:val="right" w:pos="7100"/>
      </w:tabs>
      <w:spacing w:after="0" w:line="264" w:lineRule="auto"/>
      <w:jc w:val="both"/>
    </w:pPr>
    <w:rPr>
      <w:rFonts w:ascii="Arial" w:eastAsia="Times New Roman" w:hAnsi="Arial" w:cs="Times New Roman"/>
      <w:sz w:val="18"/>
      <w:szCs w:val="20"/>
      <w:lang w:val="en-US"/>
    </w:rPr>
  </w:style>
  <w:style w:type="paragraph" w:customStyle="1" w:styleId="CETheadingx">
    <w:name w:val="CET headingx"/>
    <w:next w:val="CETBodytext"/>
    <w:link w:val="CETheadingxCarattere"/>
    <w:autoRedefine/>
    <w:qFormat/>
    <w:rsid w:val="00FA5F5F"/>
    <w:pPr>
      <w:keepNext/>
      <w:numPr>
        <w:ilvl w:val="2"/>
        <w:numId w:val="1"/>
      </w:numPr>
      <w:suppressAutoHyphens/>
      <w:spacing w:before="120" w:after="120" w:line="240" w:lineRule="auto"/>
    </w:pPr>
    <w:rPr>
      <w:rFonts w:ascii="Arial" w:eastAsia="Times New Roman" w:hAnsi="Arial" w:cs="Times New Roman"/>
      <w:b/>
      <w:sz w:val="18"/>
      <w:szCs w:val="20"/>
      <w:lang w:val="en-US"/>
    </w:rPr>
  </w:style>
  <w:style w:type="paragraph" w:customStyle="1" w:styleId="CETAddress">
    <w:name w:val="CET Address"/>
    <w:link w:val="CETAddressCarattere"/>
    <w:qFormat/>
    <w:rsid w:val="009E788A"/>
    <w:pPr>
      <w:keepNext/>
      <w:suppressAutoHyphens/>
      <w:spacing w:after="0"/>
      <w:contextualSpacing/>
    </w:pPr>
    <w:rPr>
      <w:rFonts w:ascii="Arial" w:eastAsia="Times New Roman" w:hAnsi="Arial" w:cs="Times New Roman"/>
      <w:noProof/>
      <w:sz w:val="16"/>
      <w:szCs w:val="20"/>
      <w:lang w:val="en-GB"/>
    </w:rPr>
  </w:style>
  <w:style w:type="table" w:styleId="TableSimple1">
    <w:name w:val="Table Simple 1"/>
    <w:basedOn w:val="TableNormal"/>
    <w:semiHidden/>
    <w:rsid w:val="000E414A"/>
    <w:pPr>
      <w:numPr>
        <w:ilvl w:val="3"/>
        <w:numId w:val="1"/>
      </w:numPr>
      <w:spacing w:after="0" w:line="264" w:lineRule="auto"/>
      <w:jc w:val="both"/>
    </w:pPr>
    <w:rPr>
      <w:rFonts w:ascii="Times New Roman" w:eastAsia="Times New Roman" w:hAnsi="Times New Roman" w:cs="Times New Roman"/>
      <w:sz w:val="20"/>
      <w:szCs w:val="20"/>
      <w:lang w:eastAsia="it-I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CETBodytextCarattere">
    <w:name w:val="CET Body text Carattere"/>
    <w:link w:val="CETBodytext"/>
    <w:rsid w:val="000E414A"/>
    <w:rPr>
      <w:rFonts w:ascii="Arial" w:eastAsia="Times New Roman" w:hAnsi="Arial" w:cs="Times New Roman"/>
      <w:sz w:val="18"/>
      <w:szCs w:val="20"/>
      <w:lang w:val="en-US"/>
    </w:rPr>
  </w:style>
  <w:style w:type="paragraph" w:customStyle="1" w:styleId="CETReference">
    <w:name w:val="CET Reference"/>
    <w:qFormat/>
    <w:rsid w:val="00FC2695"/>
    <w:pPr>
      <w:spacing w:before="200" w:after="120" w:line="240" w:lineRule="auto"/>
    </w:pPr>
    <w:rPr>
      <w:rFonts w:ascii="Arial" w:eastAsia="Times New Roman" w:hAnsi="Arial" w:cs="Times New Roman"/>
      <w:b/>
      <w:sz w:val="18"/>
      <w:szCs w:val="20"/>
      <w:lang w:val="en-GB"/>
    </w:rPr>
  </w:style>
  <w:style w:type="paragraph" w:customStyle="1" w:styleId="CETCaption">
    <w:name w:val="CET Caption"/>
    <w:link w:val="CETCaptionCarattere"/>
    <w:qFormat/>
    <w:rsid w:val="00F7534E"/>
    <w:pPr>
      <w:spacing w:before="240" w:after="240" w:line="264" w:lineRule="auto"/>
      <w:jc w:val="both"/>
    </w:pPr>
    <w:rPr>
      <w:rFonts w:ascii="Arial" w:eastAsia="Times New Roman" w:hAnsi="Arial" w:cs="Times New Roman"/>
      <w:i/>
      <w:sz w:val="18"/>
      <w:szCs w:val="20"/>
      <w:lang w:val="en-GB"/>
    </w:rPr>
  </w:style>
  <w:style w:type="character" w:customStyle="1" w:styleId="CETheadingxCarattere">
    <w:name w:val="CET headingx Carattere"/>
    <w:link w:val="CETheadingx"/>
    <w:rsid w:val="00FA5F5F"/>
    <w:rPr>
      <w:rFonts w:ascii="Arial" w:eastAsia="Times New Roman" w:hAnsi="Arial" w:cs="Times New Roman"/>
      <w:b/>
      <w:sz w:val="18"/>
      <w:szCs w:val="20"/>
      <w:lang w:val="en-US"/>
    </w:rPr>
  </w:style>
  <w:style w:type="character" w:customStyle="1" w:styleId="CETCaptionCarattere">
    <w:name w:val="CET Caption Carattere"/>
    <w:link w:val="CETCaption"/>
    <w:rsid w:val="00F7534E"/>
    <w:rPr>
      <w:rFonts w:ascii="Arial" w:eastAsia="Times New Roman" w:hAnsi="Arial" w:cs="Times New Roman"/>
      <w:i/>
      <w:sz w:val="18"/>
      <w:szCs w:val="20"/>
      <w:lang w:val="en-GB"/>
    </w:rPr>
  </w:style>
  <w:style w:type="paragraph" w:customStyle="1" w:styleId="CETBodytextItalic">
    <w:name w:val="CET Body text (Italic)"/>
    <w:basedOn w:val="CETBodytext"/>
    <w:qFormat/>
    <w:rsid w:val="004F5E36"/>
    <w:rPr>
      <w:i/>
      <w:lang w:val="en-GB"/>
    </w:rPr>
  </w:style>
  <w:style w:type="character" w:styleId="CommentReference">
    <w:name w:val="annotation reference"/>
    <w:basedOn w:val="DefaultParagraphFont"/>
    <w:uiPriority w:val="99"/>
    <w:semiHidden/>
    <w:unhideWhenUsed/>
    <w:rsid w:val="004577FE"/>
    <w:rPr>
      <w:sz w:val="16"/>
      <w:szCs w:val="16"/>
    </w:rPr>
  </w:style>
  <w:style w:type="paragraph" w:styleId="BalloonText">
    <w:name w:val="Balloon Text"/>
    <w:basedOn w:val="Normal"/>
    <w:link w:val="BalloonTextChar"/>
    <w:uiPriority w:val="99"/>
    <w:semiHidden/>
    <w:unhideWhenUsed/>
    <w:rsid w:val="000D34B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34BE"/>
    <w:rPr>
      <w:rFonts w:ascii="Tahoma" w:hAnsi="Tahoma" w:cs="Tahoma"/>
      <w:sz w:val="16"/>
      <w:szCs w:val="16"/>
    </w:rPr>
  </w:style>
  <w:style w:type="paragraph" w:styleId="Bibliography">
    <w:name w:val="Bibliography"/>
    <w:basedOn w:val="CETReferencetext"/>
    <w:uiPriority w:val="37"/>
    <w:unhideWhenUsed/>
    <w:rsid w:val="00631B33"/>
    <w:pPr>
      <w:spacing w:line="480" w:lineRule="auto"/>
      <w:ind w:left="720" w:hanging="720"/>
    </w:pPr>
  </w:style>
  <w:style w:type="paragraph" w:styleId="BodyText2">
    <w:name w:val="Body Text 2"/>
    <w:basedOn w:val="Normal"/>
    <w:link w:val="BodyText2Char"/>
    <w:uiPriority w:val="99"/>
    <w:semiHidden/>
    <w:unhideWhenUsed/>
    <w:rsid w:val="0003148D"/>
    <w:pPr>
      <w:spacing w:after="120" w:line="480" w:lineRule="auto"/>
    </w:pPr>
  </w:style>
  <w:style w:type="character" w:customStyle="1" w:styleId="BodyText2Char">
    <w:name w:val="Body Text 2 Char"/>
    <w:basedOn w:val="DefaultParagraphFont"/>
    <w:link w:val="BodyText2"/>
    <w:uiPriority w:val="99"/>
    <w:semiHidden/>
    <w:rsid w:val="0003148D"/>
  </w:style>
  <w:style w:type="paragraph" w:styleId="BodyText3">
    <w:name w:val="Body Text 3"/>
    <w:basedOn w:val="Normal"/>
    <w:link w:val="BodyText3Char"/>
    <w:uiPriority w:val="99"/>
    <w:semiHidden/>
    <w:unhideWhenUsed/>
    <w:rsid w:val="0003148D"/>
    <w:pPr>
      <w:spacing w:after="120"/>
    </w:pPr>
    <w:rPr>
      <w:sz w:val="16"/>
      <w:szCs w:val="16"/>
    </w:rPr>
  </w:style>
  <w:style w:type="character" w:customStyle="1" w:styleId="BodyText3Char">
    <w:name w:val="Body Text 3 Char"/>
    <w:basedOn w:val="DefaultParagraphFont"/>
    <w:link w:val="BodyText3"/>
    <w:uiPriority w:val="99"/>
    <w:semiHidden/>
    <w:rsid w:val="0003148D"/>
    <w:rPr>
      <w:sz w:val="16"/>
      <w:szCs w:val="16"/>
    </w:rPr>
  </w:style>
  <w:style w:type="paragraph" w:styleId="BodyText">
    <w:name w:val="Body Text"/>
    <w:basedOn w:val="Normal"/>
    <w:link w:val="BodyTextChar"/>
    <w:uiPriority w:val="99"/>
    <w:semiHidden/>
    <w:unhideWhenUsed/>
    <w:rsid w:val="0003148D"/>
    <w:pPr>
      <w:spacing w:after="120"/>
    </w:pPr>
  </w:style>
  <w:style w:type="character" w:customStyle="1" w:styleId="BodyTextChar">
    <w:name w:val="Body Text Char"/>
    <w:basedOn w:val="DefaultParagraphFont"/>
    <w:link w:val="BodyText"/>
    <w:uiPriority w:val="99"/>
    <w:semiHidden/>
    <w:rsid w:val="0003148D"/>
  </w:style>
  <w:style w:type="paragraph" w:styleId="Date">
    <w:name w:val="Date"/>
    <w:basedOn w:val="Normal"/>
    <w:next w:val="Normal"/>
    <w:link w:val="DateChar"/>
    <w:uiPriority w:val="99"/>
    <w:semiHidden/>
    <w:unhideWhenUsed/>
    <w:rsid w:val="0003148D"/>
  </w:style>
  <w:style w:type="character" w:customStyle="1" w:styleId="DateChar">
    <w:name w:val="Date Char"/>
    <w:basedOn w:val="DefaultParagraphFont"/>
    <w:link w:val="Date"/>
    <w:uiPriority w:val="99"/>
    <w:semiHidden/>
    <w:rsid w:val="0003148D"/>
  </w:style>
  <w:style w:type="paragraph" w:styleId="Caption">
    <w:name w:val="caption"/>
    <w:basedOn w:val="Normal"/>
    <w:next w:val="Normal"/>
    <w:uiPriority w:val="35"/>
    <w:semiHidden/>
    <w:unhideWhenUsed/>
    <w:qFormat/>
    <w:rsid w:val="0003148D"/>
    <w:pPr>
      <w:spacing w:line="240" w:lineRule="auto"/>
    </w:pPr>
    <w:rPr>
      <w:b/>
      <w:bCs/>
      <w:color w:val="4F81BD" w:themeColor="accent1"/>
      <w:szCs w:val="18"/>
    </w:rPr>
  </w:style>
  <w:style w:type="paragraph" w:styleId="List">
    <w:name w:val="List"/>
    <w:basedOn w:val="Normal"/>
    <w:uiPriority w:val="99"/>
    <w:semiHidden/>
    <w:unhideWhenUsed/>
    <w:rsid w:val="0003148D"/>
    <w:pPr>
      <w:ind w:left="283" w:hanging="283"/>
      <w:contextualSpacing/>
    </w:pPr>
  </w:style>
  <w:style w:type="paragraph" w:styleId="List2">
    <w:name w:val="List 2"/>
    <w:basedOn w:val="Normal"/>
    <w:uiPriority w:val="99"/>
    <w:semiHidden/>
    <w:unhideWhenUsed/>
    <w:rsid w:val="0003148D"/>
    <w:pPr>
      <w:ind w:left="566" w:hanging="283"/>
      <w:contextualSpacing/>
    </w:pPr>
  </w:style>
  <w:style w:type="paragraph" w:styleId="List3">
    <w:name w:val="List 3"/>
    <w:basedOn w:val="Normal"/>
    <w:uiPriority w:val="99"/>
    <w:semiHidden/>
    <w:unhideWhenUsed/>
    <w:rsid w:val="0003148D"/>
    <w:pPr>
      <w:ind w:left="849" w:hanging="283"/>
      <w:contextualSpacing/>
    </w:pPr>
  </w:style>
  <w:style w:type="paragraph" w:styleId="List4">
    <w:name w:val="List 4"/>
    <w:basedOn w:val="Normal"/>
    <w:uiPriority w:val="99"/>
    <w:semiHidden/>
    <w:unhideWhenUsed/>
    <w:rsid w:val="0003148D"/>
    <w:pPr>
      <w:ind w:left="1132" w:hanging="283"/>
      <w:contextualSpacing/>
    </w:pPr>
  </w:style>
  <w:style w:type="paragraph" w:styleId="List5">
    <w:name w:val="List 5"/>
    <w:basedOn w:val="Normal"/>
    <w:uiPriority w:val="99"/>
    <w:semiHidden/>
    <w:unhideWhenUsed/>
    <w:rsid w:val="0003148D"/>
    <w:pPr>
      <w:ind w:left="1415" w:hanging="283"/>
      <w:contextualSpacing/>
    </w:pPr>
  </w:style>
  <w:style w:type="paragraph" w:styleId="ListContinue">
    <w:name w:val="List Continue"/>
    <w:basedOn w:val="Normal"/>
    <w:uiPriority w:val="99"/>
    <w:semiHidden/>
    <w:unhideWhenUsed/>
    <w:rsid w:val="0003148D"/>
    <w:pPr>
      <w:spacing w:after="120"/>
      <w:ind w:left="283"/>
      <w:contextualSpacing/>
    </w:pPr>
  </w:style>
  <w:style w:type="paragraph" w:styleId="ListContinue2">
    <w:name w:val="List Continue 2"/>
    <w:basedOn w:val="Normal"/>
    <w:uiPriority w:val="99"/>
    <w:semiHidden/>
    <w:unhideWhenUsed/>
    <w:rsid w:val="0003148D"/>
    <w:pPr>
      <w:spacing w:after="120"/>
      <w:ind w:left="566"/>
      <w:contextualSpacing/>
    </w:pPr>
  </w:style>
  <w:style w:type="paragraph" w:styleId="ListContinue3">
    <w:name w:val="List Continue 3"/>
    <w:basedOn w:val="Normal"/>
    <w:uiPriority w:val="99"/>
    <w:semiHidden/>
    <w:unhideWhenUsed/>
    <w:rsid w:val="0003148D"/>
    <w:pPr>
      <w:spacing w:after="120"/>
      <w:ind w:left="849"/>
      <w:contextualSpacing/>
    </w:pPr>
  </w:style>
  <w:style w:type="paragraph" w:styleId="ListContinue4">
    <w:name w:val="List Continue 4"/>
    <w:basedOn w:val="Normal"/>
    <w:uiPriority w:val="99"/>
    <w:semiHidden/>
    <w:unhideWhenUsed/>
    <w:rsid w:val="0003148D"/>
    <w:pPr>
      <w:spacing w:after="120"/>
      <w:ind w:left="1132"/>
      <w:contextualSpacing/>
    </w:pPr>
  </w:style>
  <w:style w:type="paragraph" w:styleId="ListContinue5">
    <w:name w:val="List Continue 5"/>
    <w:basedOn w:val="Normal"/>
    <w:uiPriority w:val="99"/>
    <w:semiHidden/>
    <w:unhideWhenUsed/>
    <w:rsid w:val="0003148D"/>
    <w:pPr>
      <w:spacing w:after="120"/>
      <w:ind w:left="1415"/>
      <w:contextualSpacing/>
    </w:pPr>
  </w:style>
  <w:style w:type="paragraph" w:styleId="Signature">
    <w:name w:val="Signature"/>
    <w:basedOn w:val="Normal"/>
    <w:link w:val="SignatureChar"/>
    <w:uiPriority w:val="99"/>
    <w:semiHidden/>
    <w:unhideWhenUsed/>
    <w:rsid w:val="0003148D"/>
    <w:pPr>
      <w:spacing w:line="240" w:lineRule="auto"/>
      <w:ind w:left="4252"/>
    </w:pPr>
  </w:style>
  <w:style w:type="character" w:customStyle="1" w:styleId="SignatureChar">
    <w:name w:val="Signature Char"/>
    <w:basedOn w:val="DefaultParagraphFont"/>
    <w:link w:val="Signature"/>
    <w:uiPriority w:val="99"/>
    <w:semiHidden/>
    <w:rsid w:val="0003148D"/>
  </w:style>
  <w:style w:type="paragraph" w:styleId="E-mailSignature">
    <w:name w:val="E-mail Signature"/>
    <w:basedOn w:val="Normal"/>
    <w:link w:val="E-mailSignatureChar"/>
    <w:uiPriority w:val="99"/>
    <w:semiHidden/>
    <w:unhideWhenUsed/>
    <w:rsid w:val="0003148D"/>
    <w:pPr>
      <w:spacing w:line="240" w:lineRule="auto"/>
    </w:pPr>
  </w:style>
  <w:style w:type="character" w:customStyle="1" w:styleId="E-mailSignatureChar">
    <w:name w:val="E-mail Signature Char"/>
    <w:basedOn w:val="DefaultParagraphFont"/>
    <w:link w:val="E-mailSignature"/>
    <w:uiPriority w:val="99"/>
    <w:semiHidden/>
    <w:rsid w:val="0003148D"/>
  </w:style>
  <w:style w:type="paragraph" w:styleId="Salutation">
    <w:name w:val="Salutation"/>
    <w:basedOn w:val="Normal"/>
    <w:next w:val="Normal"/>
    <w:link w:val="SalutationChar"/>
    <w:uiPriority w:val="99"/>
    <w:semiHidden/>
    <w:unhideWhenUsed/>
    <w:rsid w:val="0003148D"/>
  </w:style>
  <w:style w:type="character" w:customStyle="1" w:styleId="SalutationChar">
    <w:name w:val="Salutation Char"/>
    <w:basedOn w:val="DefaultParagraphFont"/>
    <w:link w:val="Salutation"/>
    <w:uiPriority w:val="99"/>
    <w:semiHidden/>
    <w:rsid w:val="0003148D"/>
  </w:style>
  <w:style w:type="paragraph" w:styleId="Closing">
    <w:name w:val="Closing"/>
    <w:basedOn w:val="Normal"/>
    <w:link w:val="ClosingChar"/>
    <w:uiPriority w:val="99"/>
    <w:semiHidden/>
    <w:unhideWhenUsed/>
    <w:rsid w:val="0003148D"/>
    <w:pPr>
      <w:spacing w:line="240" w:lineRule="auto"/>
      <w:ind w:left="4252"/>
    </w:pPr>
  </w:style>
  <w:style w:type="character" w:customStyle="1" w:styleId="ClosingChar">
    <w:name w:val="Closing Char"/>
    <w:basedOn w:val="DefaultParagraphFont"/>
    <w:link w:val="Closing"/>
    <w:uiPriority w:val="99"/>
    <w:semiHidden/>
    <w:rsid w:val="0003148D"/>
  </w:style>
  <w:style w:type="paragraph" w:styleId="Index1">
    <w:name w:val="index 1"/>
    <w:basedOn w:val="Normal"/>
    <w:next w:val="Normal"/>
    <w:autoRedefine/>
    <w:uiPriority w:val="99"/>
    <w:semiHidden/>
    <w:unhideWhenUsed/>
    <w:rsid w:val="0003148D"/>
    <w:pPr>
      <w:spacing w:line="240" w:lineRule="auto"/>
      <w:ind w:left="220" w:hanging="220"/>
    </w:pPr>
  </w:style>
  <w:style w:type="paragraph" w:styleId="Index2">
    <w:name w:val="index 2"/>
    <w:basedOn w:val="Normal"/>
    <w:next w:val="Normal"/>
    <w:autoRedefine/>
    <w:uiPriority w:val="99"/>
    <w:semiHidden/>
    <w:unhideWhenUsed/>
    <w:rsid w:val="0003148D"/>
    <w:pPr>
      <w:spacing w:line="240" w:lineRule="auto"/>
      <w:ind w:left="440" w:hanging="220"/>
    </w:pPr>
  </w:style>
  <w:style w:type="paragraph" w:styleId="Index3">
    <w:name w:val="index 3"/>
    <w:basedOn w:val="Normal"/>
    <w:next w:val="Normal"/>
    <w:autoRedefine/>
    <w:uiPriority w:val="99"/>
    <w:semiHidden/>
    <w:unhideWhenUsed/>
    <w:rsid w:val="0003148D"/>
    <w:pPr>
      <w:spacing w:line="240" w:lineRule="auto"/>
      <w:ind w:left="660" w:hanging="220"/>
    </w:pPr>
  </w:style>
  <w:style w:type="paragraph" w:styleId="Index4">
    <w:name w:val="index 4"/>
    <w:basedOn w:val="Normal"/>
    <w:next w:val="Normal"/>
    <w:autoRedefine/>
    <w:uiPriority w:val="99"/>
    <w:semiHidden/>
    <w:unhideWhenUsed/>
    <w:rsid w:val="0003148D"/>
    <w:pPr>
      <w:spacing w:line="240" w:lineRule="auto"/>
      <w:ind w:left="880" w:hanging="220"/>
    </w:pPr>
  </w:style>
  <w:style w:type="paragraph" w:styleId="Index5">
    <w:name w:val="index 5"/>
    <w:basedOn w:val="Normal"/>
    <w:next w:val="Normal"/>
    <w:autoRedefine/>
    <w:uiPriority w:val="99"/>
    <w:semiHidden/>
    <w:unhideWhenUsed/>
    <w:rsid w:val="0003148D"/>
    <w:pPr>
      <w:spacing w:line="240" w:lineRule="auto"/>
      <w:ind w:left="1100" w:hanging="220"/>
    </w:pPr>
  </w:style>
  <w:style w:type="paragraph" w:styleId="Index6">
    <w:name w:val="index 6"/>
    <w:basedOn w:val="Normal"/>
    <w:next w:val="Normal"/>
    <w:autoRedefine/>
    <w:uiPriority w:val="99"/>
    <w:semiHidden/>
    <w:unhideWhenUsed/>
    <w:rsid w:val="0003148D"/>
    <w:pPr>
      <w:spacing w:line="240" w:lineRule="auto"/>
      <w:ind w:left="1320" w:hanging="220"/>
    </w:pPr>
  </w:style>
  <w:style w:type="paragraph" w:styleId="Index7">
    <w:name w:val="index 7"/>
    <w:basedOn w:val="Normal"/>
    <w:next w:val="Normal"/>
    <w:autoRedefine/>
    <w:uiPriority w:val="99"/>
    <w:semiHidden/>
    <w:unhideWhenUsed/>
    <w:rsid w:val="0003148D"/>
    <w:pPr>
      <w:spacing w:line="240" w:lineRule="auto"/>
      <w:ind w:left="1540" w:hanging="220"/>
    </w:pPr>
  </w:style>
  <w:style w:type="paragraph" w:styleId="Index8">
    <w:name w:val="index 8"/>
    <w:basedOn w:val="Normal"/>
    <w:next w:val="Normal"/>
    <w:autoRedefine/>
    <w:uiPriority w:val="99"/>
    <w:semiHidden/>
    <w:unhideWhenUsed/>
    <w:rsid w:val="0003148D"/>
    <w:pPr>
      <w:spacing w:line="240" w:lineRule="auto"/>
      <w:ind w:left="1760" w:hanging="220"/>
    </w:pPr>
  </w:style>
  <w:style w:type="paragraph" w:styleId="Index9">
    <w:name w:val="index 9"/>
    <w:basedOn w:val="Normal"/>
    <w:next w:val="Normal"/>
    <w:autoRedefine/>
    <w:uiPriority w:val="99"/>
    <w:semiHidden/>
    <w:unhideWhenUsed/>
    <w:rsid w:val="0003148D"/>
    <w:pPr>
      <w:spacing w:line="240" w:lineRule="auto"/>
      <w:ind w:left="1980" w:hanging="220"/>
    </w:pPr>
  </w:style>
  <w:style w:type="paragraph" w:styleId="TableofFigures">
    <w:name w:val="table of figures"/>
    <w:basedOn w:val="Normal"/>
    <w:next w:val="Normal"/>
    <w:uiPriority w:val="99"/>
    <w:semiHidden/>
    <w:unhideWhenUsed/>
    <w:rsid w:val="0003148D"/>
  </w:style>
  <w:style w:type="paragraph" w:styleId="TableofAuthorities">
    <w:name w:val="table of authorities"/>
    <w:basedOn w:val="Normal"/>
    <w:next w:val="Normal"/>
    <w:uiPriority w:val="99"/>
    <w:semiHidden/>
    <w:unhideWhenUsed/>
    <w:rsid w:val="0003148D"/>
    <w:pPr>
      <w:ind w:left="220" w:hanging="220"/>
    </w:pPr>
  </w:style>
  <w:style w:type="paragraph" w:styleId="EnvelopeAddress">
    <w:name w:val="envelope address"/>
    <w:basedOn w:val="Normal"/>
    <w:uiPriority w:val="99"/>
    <w:semiHidden/>
    <w:unhideWhenUsed/>
    <w:rsid w:val="0003148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HTMLAddress">
    <w:name w:val="HTML Address"/>
    <w:basedOn w:val="Normal"/>
    <w:link w:val="HTMLAddressChar"/>
    <w:uiPriority w:val="99"/>
    <w:semiHidden/>
    <w:unhideWhenUsed/>
    <w:rsid w:val="0003148D"/>
    <w:pPr>
      <w:spacing w:line="240" w:lineRule="auto"/>
    </w:pPr>
    <w:rPr>
      <w:i/>
      <w:iCs/>
    </w:rPr>
  </w:style>
  <w:style w:type="character" w:customStyle="1" w:styleId="HTMLAddressChar">
    <w:name w:val="HTML Address Char"/>
    <w:basedOn w:val="DefaultParagraphFont"/>
    <w:link w:val="HTMLAddress"/>
    <w:uiPriority w:val="99"/>
    <w:semiHidden/>
    <w:rsid w:val="0003148D"/>
    <w:rPr>
      <w:i/>
      <w:iCs/>
    </w:rPr>
  </w:style>
  <w:style w:type="paragraph" w:styleId="EnvelopeReturn">
    <w:name w:val="envelope return"/>
    <w:basedOn w:val="Normal"/>
    <w:uiPriority w:val="99"/>
    <w:semiHidden/>
    <w:unhideWhenUsed/>
    <w:rsid w:val="0003148D"/>
    <w:pPr>
      <w:spacing w:line="240" w:lineRule="auto"/>
    </w:pPr>
    <w:rPr>
      <w:rFonts w:asciiTheme="majorHAnsi" w:eastAsiaTheme="majorEastAsia" w:hAnsiTheme="majorHAnsi" w:cstheme="majorBidi"/>
    </w:rPr>
  </w:style>
  <w:style w:type="paragraph" w:styleId="MessageHeader">
    <w:name w:val="Message Header"/>
    <w:basedOn w:val="Normal"/>
    <w:link w:val="MessageHeaderChar"/>
    <w:uiPriority w:val="99"/>
    <w:semiHidden/>
    <w:unhideWhenUsed/>
    <w:rsid w:val="0003148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03148D"/>
    <w:rPr>
      <w:rFonts w:asciiTheme="majorHAnsi" w:eastAsiaTheme="majorEastAsia" w:hAnsiTheme="majorHAnsi" w:cstheme="majorBidi"/>
      <w:sz w:val="24"/>
      <w:szCs w:val="24"/>
      <w:shd w:val="pct20" w:color="auto" w:fill="auto"/>
    </w:rPr>
  </w:style>
  <w:style w:type="paragraph" w:styleId="NoteHeading">
    <w:name w:val="Note Heading"/>
    <w:basedOn w:val="Normal"/>
    <w:next w:val="Normal"/>
    <w:link w:val="NoteHeadingChar"/>
    <w:uiPriority w:val="99"/>
    <w:semiHidden/>
    <w:unhideWhenUsed/>
    <w:rsid w:val="0003148D"/>
    <w:pPr>
      <w:spacing w:line="240" w:lineRule="auto"/>
    </w:pPr>
  </w:style>
  <w:style w:type="character" w:customStyle="1" w:styleId="NoteHeadingChar">
    <w:name w:val="Note Heading Char"/>
    <w:basedOn w:val="DefaultParagraphFont"/>
    <w:link w:val="NoteHeading"/>
    <w:uiPriority w:val="99"/>
    <w:semiHidden/>
    <w:rsid w:val="0003148D"/>
  </w:style>
  <w:style w:type="paragraph" w:styleId="DocumentMap">
    <w:name w:val="Document Map"/>
    <w:basedOn w:val="Normal"/>
    <w:link w:val="DocumentMapChar"/>
    <w:uiPriority w:val="99"/>
    <w:semiHidden/>
    <w:unhideWhenUsed/>
    <w:rsid w:val="0003148D"/>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03148D"/>
    <w:rPr>
      <w:rFonts w:ascii="Tahoma" w:hAnsi="Tahoma" w:cs="Tahoma"/>
      <w:sz w:val="16"/>
      <w:szCs w:val="16"/>
    </w:rPr>
  </w:style>
  <w:style w:type="paragraph" w:styleId="NormalWeb">
    <w:name w:val="Normal (Web)"/>
    <w:basedOn w:val="Normal"/>
    <w:uiPriority w:val="99"/>
    <w:semiHidden/>
    <w:unhideWhenUsed/>
    <w:rsid w:val="0003148D"/>
    <w:rPr>
      <w:sz w:val="24"/>
      <w:szCs w:val="24"/>
    </w:rPr>
  </w:style>
  <w:style w:type="paragraph" w:styleId="ListNumber">
    <w:name w:val="List Number"/>
    <w:basedOn w:val="Normal"/>
    <w:uiPriority w:val="99"/>
    <w:semiHidden/>
    <w:unhideWhenUsed/>
    <w:rsid w:val="0003148D"/>
    <w:pPr>
      <w:numPr>
        <w:numId w:val="2"/>
      </w:numPr>
      <w:contextualSpacing/>
    </w:pPr>
  </w:style>
  <w:style w:type="paragraph" w:styleId="ListNumber2">
    <w:name w:val="List Number 2"/>
    <w:basedOn w:val="Normal"/>
    <w:uiPriority w:val="99"/>
    <w:semiHidden/>
    <w:unhideWhenUsed/>
    <w:rsid w:val="0003148D"/>
    <w:pPr>
      <w:numPr>
        <w:numId w:val="3"/>
      </w:numPr>
      <w:contextualSpacing/>
    </w:pPr>
  </w:style>
  <w:style w:type="paragraph" w:styleId="ListNumber3">
    <w:name w:val="List Number 3"/>
    <w:basedOn w:val="Normal"/>
    <w:uiPriority w:val="99"/>
    <w:semiHidden/>
    <w:unhideWhenUsed/>
    <w:rsid w:val="0003148D"/>
    <w:pPr>
      <w:numPr>
        <w:numId w:val="4"/>
      </w:numPr>
      <w:contextualSpacing/>
    </w:pPr>
  </w:style>
  <w:style w:type="paragraph" w:styleId="ListNumber4">
    <w:name w:val="List Number 4"/>
    <w:basedOn w:val="Normal"/>
    <w:uiPriority w:val="99"/>
    <w:semiHidden/>
    <w:unhideWhenUsed/>
    <w:rsid w:val="0003148D"/>
    <w:pPr>
      <w:numPr>
        <w:numId w:val="5"/>
      </w:numPr>
      <w:contextualSpacing/>
    </w:pPr>
  </w:style>
  <w:style w:type="paragraph" w:styleId="ListNumber5">
    <w:name w:val="List Number 5"/>
    <w:basedOn w:val="Normal"/>
    <w:uiPriority w:val="99"/>
    <w:semiHidden/>
    <w:unhideWhenUsed/>
    <w:rsid w:val="0003148D"/>
    <w:pPr>
      <w:numPr>
        <w:numId w:val="6"/>
      </w:numPr>
      <w:contextualSpacing/>
    </w:pPr>
  </w:style>
  <w:style w:type="paragraph" w:styleId="HTMLPreformatted">
    <w:name w:val="HTML Preformatted"/>
    <w:basedOn w:val="Normal"/>
    <w:link w:val="HTMLPreformattedChar"/>
    <w:uiPriority w:val="99"/>
    <w:semiHidden/>
    <w:unhideWhenUsed/>
    <w:rsid w:val="0003148D"/>
    <w:pPr>
      <w:spacing w:line="240" w:lineRule="auto"/>
    </w:pPr>
    <w:rPr>
      <w:rFonts w:ascii="Consolas" w:hAnsi="Consolas" w:cs="Consolas"/>
    </w:rPr>
  </w:style>
  <w:style w:type="character" w:customStyle="1" w:styleId="HTMLPreformattedChar">
    <w:name w:val="HTML Preformatted Char"/>
    <w:basedOn w:val="DefaultParagraphFont"/>
    <w:link w:val="HTMLPreformatted"/>
    <w:uiPriority w:val="99"/>
    <w:semiHidden/>
    <w:rsid w:val="0003148D"/>
    <w:rPr>
      <w:rFonts w:ascii="Consolas" w:hAnsi="Consolas" w:cs="Consolas"/>
      <w:sz w:val="20"/>
      <w:szCs w:val="20"/>
    </w:rPr>
  </w:style>
  <w:style w:type="paragraph" w:styleId="BodyTextFirstIndent">
    <w:name w:val="Body Text First Indent"/>
    <w:basedOn w:val="BodyText"/>
    <w:link w:val="BodyTextFirstIndentChar"/>
    <w:uiPriority w:val="99"/>
    <w:semiHidden/>
    <w:unhideWhenUsed/>
    <w:rsid w:val="0003148D"/>
    <w:pPr>
      <w:spacing w:after="200"/>
      <w:ind w:firstLine="360"/>
    </w:pPr>
  </w:style>
  <w:style w:type="character" w:customStyle="1" w:styleId="BodyTextFirstIndentChar">
    <w:name w:val="Body Text First Indent Char"/>
    <w:basedOn w:val="BodyTextChar"/>
    <w:link w:val="BodyTextFirstIndent"/>
    <w:uiPriority w:val="99"/>
    <w:semiHidden/>
    <w:rsid w:val="0003148D"/>
  </w:style>
  <w:style w:type="paragraph" w:styleId="BodyTextIndent">
    <w:name w:val="Body Text Indent"/>
    <w:basedOn w:val="Normal"/>
    <w:link w:val="BodyTextIndentChar"/>
    <w:uiPriority w:val="99"/>
    <w:semiHidden/>
    <w:unhideWhenUsed/>
    <w:rsid w:val="0003148D"/>
    <w:pPr>
      <w:spacing w:after="120"/>
      <w:ind w:left="283"/>
    </w:pPr>
  </w:style>
  <w:style w:type="character" w:customStyle="1" w:styleId="BodyTextIndentChar">
    <w:name w:val="Body Text Indent Char"/>
    <w:basedOn w:val="DefaultParagraphFont"/>
    <w:link w:val="BodyTextIndent"/>
    <w:uiPriority w:val="99"/>
    <w:semiHidden/>
    <w:rsid w:val="0003148D"/>
  </w:style>
  <w:style w:type="paragraph" w:styleId="BodyTextFirstIndent2">
    <w:name w:val="Body Text First Indent 2"/>
    <w:basedOn w:val="BodyTextIndent"/>
    <w:link w:val="BodyTextFirstIndent2Char"/>
    <w:uiPriority w:val="99"/>
    <w:semiHidden/>
    <w:unhideWhenUsed/>
    <w:rsid w:val="0003148D"/>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03148D"/>
  </w:style>
  <w:style w:type="paragraph" w:styleId="ListBullet">
    <w:name w:val="List Bullet"/>
    <w:basedOn w:val="Normal"/>
    <w:uiPriority w:val="99"/>
    <w:semiHidden/>
    <w:unhideWhenUsed/>
    <w:rsid w:val="0003148D"/>
    <w:pPr>
      <w:numPr>
        <w:numId w:val="7"/>
      </w:numPr>
      <w:contextualSpacing/>
    </w:pPr>
  </w:style>
  <w:style w:type="paragraph" w:styleId="ListBullet2">
    <w:name w:val="List Bullet 2"/>
    <w:basedOn w:val="Normal"/>
    <w:uiPriority w:val="99"/>
    <w:semiHidden/>
    <w:unhideWhenUsed/>
    <w:rsid w:val="0003148D"/>
    <w:pPr>
      <w:numPr>
        <w:numId w:val="8"/>
      </w:numPr>
      <w:contextualSpacing/>
    </w:pPr>
  </w:style>
  <w:style w:type="paragraph" w:styleId="ListBullet3">
    <w:name w:val="List Bullet 3"/>
    <w:basedOn w:val="Normal"/>
    <w:uiPriority w:val="99"/>
    <w:semiHidden/>
    <w:unhideWhenUsed/>
    <w:rsid w:val="0003148D"/>
    <w:pPr>
      <w:numPr>
        <w:numId w:val="9"/>
      </w:numPr>
      <w:contextualSpacing/>
    </w:pPr>
  </w:style>
  <w:style w:type="paragraph" w:styleId="ListBullet4">
    <w:name w:val="List Bullet 4"/>
    <w:basedOn w:val="Normal"/>
    <w:uiPriority w:val="99"/>
    <w:semiHidden/>
    <w:unhideWhenUsed/>
    <w:rsid w:val="0003148D"/>
    <w:pPr>
      <w:numPr>
        <w:numId w:val="10"/>
      </w:numPr>
      <w:contextualSpacing/>
    </w:pPr>
  </w:style>
  <w:style w:type="paragraph" w:styleId="ListBullet5">
    <w:name w:val="List Bullet 5"/>
    <w:basedOn w:val="Normal"/>
    <w:uiPriority w:val="99"/>
    <w:semiHidden/>
    <w:unhideWhenUsed/>
    <w:rsid w:val="0003148D"/>
    <w:pPr>
      <w:numPr>
        <w:numId w:val="11"/>
      </w:numPr>
      <w:contextualSpacing/>
    </w:pPr>
  </w:style>
  <w:style w:type="paragraph" w:styleId="BodyTextIndent2">
    <w:name w:val="Body Text Indent 2"/>
    <w:basedOn w:val="Normal"/>
    <w:link w:val="BodyTextIndent2Char"/>
    <w:uiPriority w:val="99"/>
    <w:semiHidden/>
    <w:unhideWhenUsed/>
    <w:rsid w:val="0003148D"/>
    <w:pPr>
      <w:spacing w:after="120" w:line="480" w:lineRule="auto"/>
      <w:ind w:left="283"/>
    </w:pPr>
  </w:style>
  <w:style w:type="character" w:customStyle="1" w:styleId="BodyTextIndent2Char">
    <w:name w:val="Body Text Indent 2 Char"/>
    <w:basedOn w:val="DefaultParagraphFont"/>
    <w:link w:val="BodyTextIndent2"/>
    <w:uiPriority w:val="99"/>
    <w:semiHidden/>
    <w:rsid w:val="0003148D"/>
  </w:style>
  <w:style w:type="paragraph" w:styleId="BodyTextIndent3">
    <w:name w:val="Body Text Indent 3"/>
    <w:basedOn w:val="Normal"/>
    <w:link w:val="BodyTextIndent3Char"/>
    <w:uiPriority w:val="99"/>
    <w:semiHidden/>
    <w:unhideWhenUsed/>
    <w:rsid w:val="0003148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3148D"/>
    <w:rPr>
      <w:sz w:val="16"/>
      <w:szCs w:val="16"/>
    </w:rPr>
  </w:style>
  <w:style w:type="paragraph" w:styleId="NormalIndent">
    <w:name w:val="Normal Indent"/>
    <w:basedOn w:val="Normal"/>
    <w:uiPriority w:val="99"/>
    <w:semiHidden/>
    <w:unhideWhenUsed/>
    <w:rsid w:val="0003148D"/>
    <w:pPr>
      <w:ind w:left="720"/>
    </w:pPr>
  </w:style>
  <w:style w:type="paragraph" w:styleId="CommentText">
    <w:name w:val="annotation text"/>
    <w:basedOn w:val="Normal"/>
    <w:link w:val="CommentTextChar"/>
    <w:uiPriority w:val="99"/>
    <w:unhideWhenUsed/>
    <w:rsid w:val="0003148D"/>
    <w:pPr>
      <w:spacing w:line="240" w:lineRule="auto"/>
    </w:pPr>
  </w:style>
  <w:style w:type="character" w:customStyle="1" w:styleId="CommentTextChar">
    <w:name w:val="Comment Text Char"/>
    <w:basedOn w:val="DefaultParagraphFont"/>
    <w:link w:val="CommentText"/>
    <w:uiPriority w:val="99"/>
    <w:rsid w:val="0003148D"/>
    <w:rPr>
      <w:sz w:val="20"/>
      <w:szCs w:val="20"/>
    </w:rPr>
  </w:style>
  <w:style w:type="paragraph" w:styleId="CommentSubject">
    <w:name w:val="annotation subject"/>
    <w:basedOn w:val="CommentText"/>
    <w:next w:val="CommentText"/>
    <w:link w:val="CommentSubjectChar"/>
    <w:uiPriority w:val="99"/>
    <w:semiHidden/>
    <w:unhideWhenUsed/>
    <w:rsid w:val="0003148D"/>
    <w:rPr>
      <w:b/>
      <w:bCs/>
    </w:rPr>
  </w:style>
  <w:style w:type="character" w:customStyle="1" w:styleId="CommentSubjectChar">
    <w:name w:val="Comment Subject Char"/>
    <w:basedOn w:val="CommentTextChar"/>
    <w:link w:val="CommentSubject"/>
    <w:uiPriority w:val="99"/>
    <w:semiHidden/>
    <w:rsid w:val="0003148D"/>
    <w:rPr>
      <w:b/>
      <w:bCs/>
      <w:sz w:val="20"/>
      <w:szCs w:val="20"/>
    </w:rPr>
  </w:style>
  <w:style w:type="paragraph" w:styleId="TOC1">
    <w:name w:val="toc 1"/>
    <w:basedOn w:val="Normal"/>
    <w:next w:val="Normal"/>
    <w:autoRedefine/>
    <w:uiPriority w:val="39"/>
    <w:semiHidden/>
    <w:unhideWhenUsed/>
    <w:rsid w:val="0003148D"/>
    <w:pPr>
      <w:spacing w:after="100"/>
    </w:pPr>
  </w:style>
  <w:style w:type="paragraph" w:styleId="TOC2">
    <w:name w:val="toc 2"/>
    <w:basedOn w:val="Normal"/>
    <w:next w:val="Normal"/>
    <w:autoRedefine/>
    <w:uiPriority w:val="39"/>
    <w:semiHidden/>
    <w:unhideWhenUsed/>
    <w:rsid w:val="0003148D"/>
    <w:pPr>
      <w:spacing w:after="100"/>
      <w:ind w:left="220"/>
    </w:pPr>
  </w:style>
  <w:style w:type="paragraph" w:styleId="TOC3">
    <w:name w:val="toc 3"/>
    <w:basedOn w:val="Normal"/>
    <w:next w:val="Normal"/>
    <w:autoRedefine/>
    <w:uiPriority w:val="39"/>
    <w:semiHidden/>
    <w:unhideWhenUsed/>
    <w:rsid w:val="0003148D"/>
    <w:pPr>
      <w:spacing w:after="100"/>
      <w:ind w:left="440"/>
    </w:pPr>
  </w:style>
  <w:style w:type="paragraph" w:styleId="TOC4">
    <w:name w:val="toc 4"/>
    <w:basedOn w:val="Normal"/>
    <w:next w:val="Normal"/>
    <w:autoRedefine/>
    <w:uiPriority w:val="39"/>
    <w:semiHidden/>
    <w:unhideWhenUsed/>
    <w:rsid w:val="0003148D"/>
    <w:pPr>
      <w:spacing w:after="100"/>
      <w:ind w:left="660"/>
    </w:pPr>
  </w:style>
  <w:style w:type="paragraph" w:styleId="TOC5">
    <w:name w:val="toc 5"/>
    <w:basedOn w:val="Normal"/>
    <w:next w:val="Normal"/>
    <w:autoRedefine/>
    <w:uiPriority w:val="39"/>
    <w:semiHidden/>
    <w:unhideWhenUsed/>
    <w:rsid w:val="0003148D"/>
    <w:pPr>
      <w:spacing w:after="100"/>
      <w:ind w:left="880"/>
    </w:pPr>
  </w:style>
  <w:style w:type="paragraph" w:styleId="TOC6">
    <w:name w:val="toc 6"/>
    <w:basedOn w:val="Normal"/>
    <w:next w:val="Normal"/>
    <w:autoRedefine/>
    <w:uiPriority w:val="39"/>
    <w:semiHidden/>
    <w:unhideWhenUsed/>
    <w:rsid w:val="0003148D"/>
    <w:pPr>
      <w:spacing w:after="100"/>
      <w:ind w:left="1100"/>
    </w:pPr>
  </w:style>
  <w:style w:type="paragraph" w:styleId="TOC7">
    <w:name w:val="toc 7"/>
    <w:basedOn w:val="Normal"/>
    <w:next w:val="Normal"/>
    <w:autoRedefine/>
    <w:uiPriority w:val="39"/>
    <w:semiHidden/>
    <w:unhideWhenUsed/>
    <w:rsid w:val="0003148D"/>
    <w:pPr>
      <w:spacing w:after="100"/>
      <w:ind w:left="1320"/>
    </w:pPr>
  </w:style>
  <w:style w:type="paragraph" w:styleId="TOC8">
    <w:name w:val="toc 8"/>
    <w:basedOn w:val="Normal"/>
    <w:next w:val="Normal"/>
    <w:autoRedefine/>
    <w:uiPriority w:val="39"/>
    <w:semiHidden/>
    <w:unhideWhenUsed/>
    <w:rsid w:val="0003148D"/>
    <w:pPr>
      <w:spacing w:after="100"/>
      <w:ind w:left="1540"/>
    </w:pPr>
  </w:style>
  <w:style w:type="paragraph" w:styleId="TOC9">
    <w:name w:val="toc 9"/>
    <w:basedOn w:val="Normal"/>
    <w:next w:val="Normal"/>
    <w:autoRedefine/>
    <w:uiPriority w:val="39"/>
    <w:semiHidden/>
    <w:unhideWhenUsed/>
    <w:rsid w:val="0003148D"/>
    <w:pPr>
      <w:spacing w:after="100"/>
      <w:ind w:left="1760"/>
    </w:pPr>
  </w:style>
  <w:style w:type="paragraph" w:styleId="BlockText">
    <w:name w:val="Block Text"/>
    <w:basedOn w:val="Normal"/>
    <w:uiPriority w:val="99"/>
    <w:semiHidden/>
    <w:unhideWhenUsed/>
    <w:rsid w:val="0003148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MacroText">
    <w:name w:val="macro"/>
    <w:link w:val="MacroTextChar"/>
    <w:uiPriority w:val="99"/>
    <w:semiHidden/>
    <w:unhideWhenUsed/>
    <w:rsid w:val="0003148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croTextChar">
    <w:name w:val="Macro Text Char"/>
    <w:basedOn w:val="DefaultParagraphFont"/>
    <w:link w:val="MacroText"/>
    <w:uiPriority w:val="99"/>
    <w:semiHidden/>
    <w:rsid w:val="0003148D"/>
    <w:rPr>
      <w:rFonts w:ascii="Consolas" w:hAnsi="Consolas" w:cs="Consolas"/>
      <w:sz w:val="20"/>
      <w:szCs w:val="20"/>
    </w:rPr>
  </w:style>
  <w:style w:type="paragraph" w:styleId="PlainText">
    <w:name w:val="Plain Text"/>
    <w:basedOn w:val="Normal"/>
    <w:link w:val="PlainTextChar"/>
    <w:uiPriority w:val="99"/>
    <w:semiHidden/>
    <w:unhideWhenUsed/>
    <w:rsid w:val="0003148D"/>
    <w:pPr>
      <w:spacing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03148D"/>
    <w:rPr>
      <w:rFonts w:ascii="Consolas" w:hAnsi="Consolas" w:cs="Consolas"/>
      <w:sz w:val="21"/>
      <w:szCs w:val="21"/>
    </w:rPr>
  </w:style>
  <w:style w:type="paragraph" w:styleId="FootnoteText">
    <w:name w:val="footnote text"/>
    <w:basedOn w:val="Normal"/>
    <w:link w:val="FootnoteTextChar"/>
    <w:uiPriority w:val="99"/>
    <w:semiHidden/>
    <w:unhideWhenUsed/>
    <w:rsid w:val="0003148D"/>
    <w:pPr>
      <w:spacing w:line="240" w:lineRule="auto"/>
    </w:pPr>
  </w:style>
  <w:style w:type="character" w:customStyle="1" w:styleId="FootnoteTextChar">
    <w:name w:val="Footnote Text Char"/>
    <w:basedOn w:val="DefaultParagraphFont"/>
    <w:link w:val="FootnoteText"/>
    <w:uiPriority w:val="99"/>
    <w:semiHidden/>
    <w:rsid w:val="0003148D"/>
    <w:rPr>
      <w:sz w:val="20"/>
      <w:szCs w:val="20"/>
    </w:rPr>
  </w:style>
  <w:style w:type="paragraph" w:styleId="EndnoteText">
    <w:name w:val="endnote text"/>
    <w:basedOn w:val="Normal"/>
    <w:link w:val="EndnoteTextChar"/>
    <w:uiPriority w:val="99"/>
    <w:semiHidden/>
    <w:unhideWhenUsed/>
    <w:rsid w:val="0003148D"/>
    <w:pPr>
      <w:spacing w:line="240" w:lineRule="auto"/>
    </w:pPr>
  </w:style>
  <w:style w:type="character" w:customStyle="1" w:styleId="EndnoteTextChar">
    <w:name w:val="Endnote Text Char"/>
    <w:basedOn w:val="DefaultParagraphFont"/>
    <w:link w:val="EndnoteText"/>
    <w:uiPriority w:val="99"/>
    <w:semiHidden/>
    <w:rsid w:val="0003148D"/>
    <w:rPr>
      <w:sz w:val="20"/>
      <w:szCs w:val="20"/>
    </w:rPr>
  </w:style>
  <w:style w:type="character" w:customStyle="1" w:styleId="Heading1Char">
    <w:name w:val="Heading 1 Char"/>
    <w:basedOn w:val="DefaultParagraphFont"/>
    <w:link w:val="Heading1"/>
    <w:uiPriority w:val="9"/>
    <w:rsid w:val="004F5E36"/>
    <w:rPr>
      <w:rFonts w:ascii="Arial" w:eastAsia="Times New Roman" w:hAnsi="Arial" w:cs="Times New Roman"/>
      <w:b/>
      <w:sz w:val="20"/>
      <w:szCs w:val="20"/>
      <w:lang w:val="en-GB"/>
    </w:rPr>
  </w:style>
  <w:style w:type="character" w:customStyle="1" w:styleId="Heading2Char">
    <w:name w:val="Heading 2 Char"/>
    <w:basedOn w:val="DefaultParagraphFont"/>
    <w:link w:val="Heading2"/>
    <w:uiPriority w:val="9"/>
    <w:semiHidden/>
    <w:rsid w:val="0003148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03148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03148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03148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03148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03148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3148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03148D"/>
    <w:rPr>
      <w:rFonts w:asciiTheme="majorHAnsi" w:eastAsiaTheme="majorEastAsia" w:hAnsiTheme="majorHAnsi" w:cstheme="majorBidi"/>
      <w:i/>
      <w:iCs/>
      <w:color w:val="404040" w:themeColor="text1" w:themeTint="BF"/>
      <w:sz w:val="20"/>
      <w:szCs w:val="20"/>
    </w:rPr>
  </w:style>
  <w:style w:type="paragraph" w:styleId="IndexHeading">
    <w:name w:val="index heading"/>
    <w:basedOn w:val="Normal"/>
    <w:next w:val="Index1"/>
    <w:uiPriority w:val="99"/>
    <w:semiHidden/>
    <w:unhideWhenUsed/>
    <w:rsid w:val="0003148D"/>
    <w:rPr>
      <w:rFonts w:asciiTheme="majorHAnsi" w:eastAsiaTheme="majorEastAsia" w:hAnsiTheme="majorHAnsi" w:cstheme="majorBidi"/>
      <w:b/>
      <w:bCs/>
    </w:rPr>
  </w:style>
  <w:style w:type="paragraph" w:styleId="TOAHeading">
    <w:name w:val="toa heading"/>
    <w:basedOn w:val="Normal"/>
    <w:next w:val="Normal"/>
    <w:uiPriority w:val="99"/>
    <w:semiHidden/>
    <w:unhideWhenUsed/>
    <w:rsid w:val="0003148D"/>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03148D"/>
    <w:pPr>
      <w:outlineLvl w:val="9"/>
    </w:pPr>
  </w:style>
  <w:style w:type="paragraph" w:customStyle="1" w:styleId="CETemail">
    <w:name w:val="CET email"/>
    <w:next w:val="CETBodytext"/>
    <w:rsid w:val="009E788A"/>
    <w:pPr>
      <w:spacing w:after="240"/>
    </w:pPr>
    <w:rPr>
      <w:rFonts w:ascii="Arial" w:eastAsia="Times New Roman" w:hAnsi="Arial" w:cs="Times New Roman"/>
      <w:noProof/>
      <w:sz w:val="16"/>
      <w:szCs w:val="20"/>
      <w:lang w:val="en-GB"/>
    </w:rPr>
  </w:style>
  <w:style w:type="character" w:customStyle="1" w:styleId="CETAddressCarattere">
    <w:name w:val="CET Address Carattere"/>
    <w:basedOn w:val="DefaultParagraphFont"/>
    <w:link w:val="CETAddress"/>
    <w:rsid w:val="009E788A"/>
    <w:rPr>
      <w:rFonts w:ascii="Arial" w:eastAsia="Times New Roman" w:hAnsi="Arial" w:cs="Times New Roman"/>
      <w:noProof/>
      <w:sz w:val="16"/>
      <w:szCs w:val="20"/>
      <w:lang w:val="en-GB"/>
    </w:rPr>
  </w:style>
  <w:style w:type="paragraph" w:customStyle="1" w:styleId="CETBodytextBold">
    <w:name w:val="CET Body text (Bold)"/>
    <w:basedOn w:val="CETBodytext"/>
    <w:rsid w:val="00901EB6"/>
    <w:rPr>
      <w:b/>
    </w:rPr>
  </w:style>
  <w:style w:type="paragraph" w:customStyle="1" w:styleId="CETnumberingbullets">
    <w:name w:val="CET numbering (bullets)"/>
    <w:rsid w:val="008D433B"/>
    <w:pPr>
      <w:numPr>
        <w:numId w:val="13"/>
      </w:numPr>
      <w:spacing w:after="0" w:line="264" w:lineRule="auto"/>
    </w:pPr>
    <w:rPr>
      <w:rFonts w:ascii="Arial" w:eastAsia="Times New Roman" w:hAnsi="Arial" w:cs="Times New Roman"/>
      <w:sz w:val="18"/>
      <w:szCs w:val="20"/>
      <w:lang w:val="en-GB"/>
    </w:rPr>
  </w:style>
  <w:style w:type="paragraph" w:customStyle="1" w:styleId="CETnumbering1">
    <w:name w:val="CET numbering (1"/>
    <w:aliases w:val="2..)"/>
    <w:rsid w:val="00B57B36"/>
    <w:pPr>
      <w:numPr>
        <w:numId w:val="14"/>
      </w:numPr>
      <w:spacing w:after="0" w:line="264" w:lineRule="auto"/>
      <w:ind w:left="340" w:hanging="227"/>
    </w:pPr>
    <w:rPr>
      <w:rFonts w:ascii="Arial" w:eastAsia="Times New Roman" w:hAnsi="Arial" w:cs="Times New Roman"/>
      <w:sz w:val="18"/>
      <w:szCs w:val="20"/>
      <w:lang w:val="en-US"/>
    </w:rPr>
  </w:style>
  <w:style w:type="paragraph" w:customStyle="1" w:styleId="CETnumberinga">
    <w:name w:val="CET numbering (a"/>
    <w:aliases w:val="b,..)"/>
    <w:rsid w:val="00B57B36"/>
    <w:pPr>
      <w:numPr>
        <w:numId w:val="15"/>
      </w:numPr>
      <w:spacing w:after="0" w:line="264" w:lineRule="auto"/>
    </w:pPr>
    <w:rPr>
      <w:rFonts w:ascii="Arial" w:eastAsia="Times New Roman" w:hAnsi="Arial" w:cs="Times New Roman"/>
      <w:sz w:val="18"/>
      <w:szCs w:val="20"/>
      <w:lang w:val="en-GB"/>
    </w:rPr>
  </w:style>
  <w:style w:type="paragraph" w:styleId="Header">
    <w:name w:val="header"/>
    <w:basedOn w:val="Normal"/>
    <w:link w:val="HeaderChar"/>
    <w:uiPriority w:val="99"/>
    <w:unhideWhenUsed/>
    <w:rsid w:val="005278B7"/>
    <w:pPr>
      <w:tabs>
        <w:tab w:val="clear" w:pos="7100"/>
        <w:tab w:val="center" w:pos="4819"/>
        <w:tab w:val="right" w:pos="9638"/>
      </w:tabs>
      <w:spacing w:line="240" w:lineRule="auto"/>
    </w:pPr>
  </w:style>
  <w:style w:type="character" w:customStyle="1" w:styleId="HeaderChar">
    <w:name w:val="Header Char"/>
    <w:basedOn w:val="DefaultParagraphFont"/>
    <w:link w:val="Header"/>
    <w:uiPriority w:val="99"/>
    <w:rsid w:val="005278B7"/>
    <w:rPr>
      <w:rFonts w:ascii="Arial" w:eastAsia="Times New Roman" w:hAnsi="Arial" w:cs="Times New Roman"/>
      <w:sz w:val="18"/>
      <w:szCs w:val="20"/>
      <w:lang w:val="en-GB"/>
    </w:rPr>
  </w:style>
  <w:style w:type="paragraph" w:styleId="Footer">
    <w:name w:val="footer"/>
    <w:basedOn w:val="Normal"/>
    <w:link w:val="FooterChar"/>
    <w:uiPriority w:val="99"/>
    <w:unhideWhenUsed/>
    <w:rsid w:val="005278B7"/>
    <w:pPr>
      <w:tabs>
        <w:tab w:val="clear" w:pos="7100"/>
        <w:tab w:val="center" w:pos="4819"/>
        <w:tab w:val="right" w:pos="9638"/>
      </w:tabs>
      <w:spacing w:line="240" w:lineRule="auto"/>
    </w:pPr>
  </w:style>
  <w:style w:type="character" w:customStyle="1" w:styleId="FooterChar">
    <w:name w:val="Footer Char"/>
    <w:basedOn w:val="DefaultParagraphFont"/>
    <w:link w:val="Footer"/>
    <w:uiPriority w:val="99"/>
    <w:rsid w:val="005278B7"/>
    <w:rPr>
      <w:rFonts w:ascii="Arial" w:eastAsia="Times New Roman" w:hAnsi="Arial" w:cs="Times New Roman"/>
      <w:sz w:val="18"/>
      <w:szCs w:val="20"/>
      <w:lang w:val="en-GB"/>
    </w:rPr>
  </w:style>
  <w:style w:type="table" w:styleId="TableGrid">
    <w:name w:val="Table Grid"/>
    <w:basedOn w:val="TableNormal"/>
    <w:uiPriority w:val="59"/>
    <w:rsid w:val="00660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04C62"/>
    <w:rPr>
      <w:color w:val="0000FF" w:themeColor="hyperlink"/>
      <w:u w:val="single"/>
    </w:rPr>
  </w:style>
  <w:style w:type="character" w:customStyle="1" w:styleId="eudoraheader">
    <w:name w:val="eudoraheader"/>
    <w:basedOn w:val="DefaultParagraphFont"/>
    <w:rsid w:val="00904C62"/>
  </w:style>
  <w:style w:type="paragraph" w:customStyle="1" w:styleId="CETListbullets">
    <w:name w:val="CET List bullets"/>
    <w:qFormat/>
    <w:rsid w:val="004577FE"/>
    <w:pPr>
      <w:spacing w:after="0" w:line="264" w:lineRule="auto"/>
      <w:ind w:left="340" w:hanging="227"/>
      <w:jc w:val="both"/>
    </w:pPr>
    <w:rPr>
      <w:rFonts w:ascii="Arial" w:eastAsia="Times New Roman" w:hAnsi="Arial" w:cs="Times New Roman"/>
      <w:sz w:val="18"/>
      <w:szCs w:val="20"/>
      <w:lang w:val="en-GB"/>
    </w:rPr>
  </w:style>
  <w:style w:type="paragraph" w:customStyle="1" w:styleId="CETReferencetext">
    <w:name w:val="CET Reference text"/>
    <w:qFormat/>
    <w:rsid w:val="00600535"/>
    <w:pPr>
      <w:spacing w:after="0" w:line="264" w:lineRule="auto"/>
      <w:ind w:left="284" w:hanging="284"/>
      <w:jc w:val="both"/>
    </w:pPr>
    <w:rPr>
      <w:rFonts w:ascii="Arial" w:eastAsia="Times New Roman" w:hAnsi="Arial" w:cs="Times New Roman"/>
      <w:sz w:val="18"/>
      <w:szCs w:val="20"/>
      <w:lang w:val="en-GB"/>
    </w:rPr>
  </w:style>
  <w:style w:type="paragraph" w:customStyle="1" w:styleId="CETTabletitle">
    <w:name w:val="CET Table title"/>
    <w:qFormat/>
    <w:rsid w:val="00600535"/>
    <w:pPr>
      <w:keepNext/>
      <w:spacing w:before="240" w:after="80" w:line="240" w:lineRule="exact"/>
    </w:pPr>
    <w:rPr>
      <w:rFonts w:ascii="Arial" w:eastAsia="Times New Roman" w:hAnsi="Arial" w:cs="Times New Roman"/>
      <w:i/>
      <w:sz w:val="18"/>
      <w:szCs w:val="20"/>
      <w:lang w:val="en-GB"/>
    </w:rPr>
  </w:style>
  <w:style w:type="paragraph" w:customStyle="1" w:styleId="CETAcknowledgementstitle">
    <w:name w:val="CET Acknowledgements title"/>
    <w:next w:val="CETBodytext"/>
    <w:qFormat/>
    <w:rsid w:val="00600535"/>
    <w:pPr>
      <w:spacing w:before="200" w:after="120"/>
    </w:pPr>
    <w:rPr>
      <w:rFonts w:ascii="Arial" w:eastAsia="Times New Roman" w:hAnsi="Arial" w:cs="Times New Roman"/>
      <w:b/>
      <w:sz w:val="18"/>
      <w:szCs w:val="20"/>
      <w:lang w:val="en-GB"/>
    </w:rPr>
  </w:style>
  <w:style w:type="paragraph" w:customStyle="1" w:styleId="CETEquation">
    <w:name w:val="CET Equation"/>
    <w:basedOn w:val="CETBodytext"/>
    <w:next w:val="CETBodytext"/>
    <w:qFormat/>
    <w:rsid w:val="00600535"/>
    <w:pPr>
      <w:spacing w:before="120" w:after="120"/>
      <w:jc w:val="left"/>
    </w:pPr>
    <w:rPr>
      <w:lang w:val="en-GB"/>
    </w:rPr>
  </w:style>
  <w:style w:type="paragraph" w:customStyle="1" w:styleId="CETHeadingxx">
    <w:name w:val="CET Headingxx"/>
    <w:basedOn w:val="CETheadingx"/>
    <w:link w:val="CETHeadingxxChar"/>
    <w:qFormat/>
    <w:rsid w:val="000F787B"/>
    <w:pPr>
      <w:numPr>
        <w:ilvl w:val="0"/>
        <w:numId w:val="0"/>
      </w:numPr>
    </w:pPr>
  </w:style>
  <w:style w:type="character" w:customStyle="1" w:styleId="CETHeadingxxChar">
    <w:name w:val="CET Headingxx Char"/>
    <w:basedOn w:val="CETheadingxCarattere"/>
    <w:link w:val="CETHeadingxx"/>
    <w:rsid w:val="000F787B"/>
    <w:rPr>
      <w:rFonts w:ascii="Arial" w:eastAsia="Times New Roman" w:hAnsi="Arial" w:cs="Times New Roman"/>
      <w:b/>
      <w:sz w:val="18"/>
      <w:szCs w:val="20"/>
      <w:lang w:val="en-US"/>
    </w:rPr>
  </w:style>
  <w:style w:type="paragraph" w:styleId="ListParagraph">
    <w:name w:val="List Paragraph"/>
    <w:basedOn w:val="Normal"/>
    <w:uiPriority w:val="34"/>
    <w:rsid w:val="00280FAF"/>
    <w:pPr>
      <w:ind w:left="720"/>
      <w:contextualSpacing/>
    </w:pPr>
  </w:style>
  <w:style w:type="character" w:customStyle="1" w:styleId="gmail-apple-converted-space">
    <w:name w:val="gmail-apple-converted-space"/>
    <w:basedOn w:val="DefaultParagraphFont"/>
    <w:rsid w:val="00005A19"/>
  </w:style>
  <w:style w:type="paragraph" w:customStyle="1" w:styleId="pdq2pgselectionanchorcontainer">
    <w:name w:val="pdq2pg_selectionanchorcontainer"/>
    <w:basedOn w:val="Normal"/>
    <w:rsid w:val="00730B17"/>
    <w:pPr>
      <w:tabs>
        <w:tab w:val="clear" w:pos="7100"/>
      </w:tabs>
      <w:spacing w:before="100" w:beforeAutospacing="1" w:after="100" w:afterAutospacing="1" w:line="240" w:lineRule="auto"/>
      <w:jc w:val="left"/>
    </w:pPr>
    <w:rPr>
      <w:rFonts w:ascii="Times New Roman" w:hAnsi="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0609195">
      <w:bodyDiv w:val="1"/>
      <w:marLeft w:val="0"/>
      <w:marRight w:val="0"/>
      <w:marTop w:val="0"/>
      <w:marBottom w:val="0"/>
      <w:divBdr>
        <w:top w:val="none" w:sz="0" w:space="0" w:color="auto"/>
        <w:left w:val="none" w:sz="0" w:space="0" w:color="auto"/>
        <w:bottom w:val="none" w:sz="0" w:space="0" w:color="auto"/>
        <w:right w:val="none" w:sz="0" w:space="0" w:color="auto"/>
      </w:divBdr>
      <w:divsChild>
        <w:div w:id="1810825834">
          <w:marLeft w:val="0"/>
          <w:marRight w:val="0"/>
          <w:marTop w:val="0"/>
          <w:marBottom w:val="0"/>
          <w:divBdr>
            <w:top w:val="none" w:sz="0" w:space="0" w:color="auto"/>
            <w:left w:val="none" w:sz="0" w:space="0" w:color="auto"/>
            <w:bottom w:val="none" w:sz="0" w:space="0" w:color="auto"/>
            <w:right w:val="none" w:sz="0" w:space="0" w:color="auto"/>
          </w:divBdr>
          <w:divsChild>
            <w:div w:id="57883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321189">
      <w:bodyDiv w:val="1"/>
      <w:marLeft w:val="0"/>
      <w:marRight w:val="0"/>
      <w:marTop w:val="0"/>
      <w:marBottom w:val="0"/>
      <w:divBdr>
        <w:top w:val="none" w:sz="0" w:space="0" w:color="auto"/>
        <w:left w:val="none" w:sz="0" w:space="0" w:color="auto"/>
        <w:bottom w:val="none" w:sz="0" w:space="0" w:color="auto"/>
        <w:right w:val="none" w:sz="0" w:space="0" w:color="auto"/>
      </w:divBdr>
      <w:divsChild>
        <w:div w:id="1967350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3056226">
      <w:bodyDiv w:val="1"/>
      <w:marLeft w:val="0"/>
      <w:marRight w:val="0"/>
      <w:marTop w:val="0"/>
      <w:marBottom w:val="0"/>
      <w:divBdr>
        <w:top w:val="none" w:sz="0" w:space="0" w:color="auto"/>
        <w:left w:val="none" w:sz="0" w:space="0" w:color="auto"/>
        <w:bottom w:val="none" w:sz="0" w:space="0" w:color="auto"/>
        <w:right w:val="none" w:sz="0" w:space="0" w:color="auto"/>
      </w:divBdr>
      <w:divsChild>
        <w:div w:id="790123951">
          <w:marLeft w:val="0"/>
          <w:marRight w:val="0"/>
          <w:marTop w:val="0"/>
          <w:marBottom w:val="0"/>
          <w:divBdr>
            <w:top w:val="none" w:sz="0" w:space="0" w:color="auto"/>
            <w:left w:val="none" w:sz="0" w:space="0" w:color="auto"/>
            <w:bottom w:val="none" w:sz="0" w:space="0" w:color="auto"/>
            <w:right w:val="none" w:sz="0" w:space="0" w:color="auto"/>
          </w:divBdr>
          <w:divsChild>
            <w:div w:id="182146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681295">
      <w:bodyDiv w:val="1"/>
      <w:marLeft w:val="0"/>
      <w:marRight w:val="0"/>
      <w:marTop w:val="0"/>
      <w:marBottom w:val="0"/>
      <w:divBdr>
        <w:top w:val="none" w:sz="0" w:space="0" w:color="auto"/>
        <w:left w:val="none" w:sz="0" w:space="0" w:color="auto"/>
        <w:bottom w:val="none" w:sz="0" w:space="0" w:color="auto"/>
        <w:right w:val="none" w:sz="0" w:space="0" w:color="auto"/>
      </w:divBdr>
    </w:div>
    <w:div w:id="1429156813">
      <w:bodyDiv w:val="1"/>
      <w:marLeft w:val="0"/>
      <w:marRight w:val="0"/>
      <w:marTop w:val="0"/>
      <w:marBottom w:val="0"/>
      <w:divBdr>
        <w:top w:val="none" w:sz="0" w:space="0" w:color="auto"/>
        <w:left w:val="none" w:sz="0" w:space="0" w:color="auto"/>
        <w:bottom w:val="none" w:sz="0" w:space="0" w:color="auto"/>
        <w:right w:val="none" w:sz="0" w:space="0" w:color="auto"/>
      </w:divBdr>
    </w:div>
    <w:div w:id="1489904563">
      <w:bodyDiv w:val="1"/>
      <w:marLeft w:val="0"/>
      <w:marRight w:val="0"/>
      <w:marTop w:val="0"/>
      <w:marBottom w:val="0"/>
      <w:divBdr>
        <w:top w:val="none" w:sz="0" w:space="0" w:color="auto"/>
        <w:left w:val="none" w:sz="0" w:space="0" w:color="auto"/>
        <w:bottom w:val="none" w:sz="0" w:space="0" w:color="auto"/>
        <w:right w:val="none" w:sz="0" w:space="0" w:color="auto"/>
      </w:divBdr>
    </w:div>
    <w:div w:id="1682856157">
      <w:bodyDiv w:val="1"/>
      <w:marLeft w:val="0"/>
      <w:marRight w:val="0"/>
      <w:marTop w:val="0"/>
      <w:marBottom w:val="0"/>
      <w:divBdr>
        <w:top w:val="none" w:sz="0" w:space="0" w:color="auto"/>
        <w:left w:val="none" w:sz="0" w:space="0" w:color="auto"/>
        <w:bottom w:val="none" w:sz="0" w:space="0" w:color="auto"/>
        <w:right w:val="none" w:sz="0" w:space="0" w:color="auto"/>
      </w:divBdr>
      <w:divsChild>
        <w:div w:id="2102991222">
          <w:marLeft w:val="0"/>
          <w:marRight w:val="0"/>
          <w:marTop w:val="0"/>
          <w:marBottom w:val="0"/>
          <w:divBdr>
            <w:top w:val="none" w:sz="0" w:space="0" w:color="auto"/>
            <w:left w:val="none" w:sz="0" w:space="0" w:color="auto"/>
            <w:bottom w:val="none" w:sz="0" w:space="0" w:color="auto"/>
            <w:right w:val="none" w:sz="0" w:space="0" w:color="auto"/>
          </w:divBdr>
          <w:divsChild>
            <w:div w:id="108908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087599">
      <w:bodyDiv w:val="1"/>
      <w:marLeft w:val="0"/>
      <w:marRight w:val="0"/>
      <w:marTop w:val="0"/>
      <w:marBottom w:val="0"/>
      <w:divBdr>
        <w:top w:val="none" w:sz="0" w:space="0" w:color="auto"/>
        <w:left w:val="none" w:sz="0" w:space="0" w:color="auto"/>
        <w:bottom w:val="none" w:sz="0" w:space="0" w:color="auto"/>
        <w:right w:val="none" w:sz="0" w:space="0" w:color="auto"/>
      </w:divBdr>
      <w:divsChild>
        <w:div w:id="15006597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D:\ADHAM\DSc_Adham\Column+results.csv"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ADHAM\DSc_Adham\Column+results_Distillate%20rate.csv"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ADHAM\DSc_Adham\Column+results_Distillate%20rate.csv"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'Column+results'!$G$1</c:f>
              <c:strCache>
                <c:ptCount val="1"/>
                <c:pt idx="0">
                  <c:v>OVHD - Mass Frac (CO2)</c:v>
                </c:pt>
              </c:strCache>
            </c:strRef>
          </c:tx>
          <c:spPr>
            <a:ln w="19050" cap="rnd">
              <a:solidFill>
                <a:schemeClr val="accent1"/>
              </a:solidFill>
              <a:round/>
            </a:ln>
            <a:effectLst/>
          </c:spPr>
          <c:marker>
            <c:symbol val="none"/>
          </c:marker>
          <c:cat>
            <c:numRef>
              <c:f>'Column+results'!$B$2:$B$31</c:f>
              <c:numCache>
                <c:formatCode>0.0</c:formatCode>
                <c:ptCount val="30"/>
                <c:pt idx="0">
                  <c:v>0.5</c:v>
                </c:pt>
                <c:pt idx="1">
                  <c:v>1</c:v>
                </c:pt>
                <c:pt idx="2">
                  <c:v>1.5</c:v>
                </c:pt>
                <c:pt idx="3">
                  <c:v>2</c:v>
                </c:pt>
                <c:pt idx="4">
                  <c:v>2.5</c:v>
                </c:pt>
                <c:pt idx="5">
                  <c:v>3</c:v>
                </c:pt>
                <c:pt idx="6">
                  <c:v>3.5</c:v>
                </c:pt>
                <c:pt idx="7">
                  <c:v>4</c:v>
                </c:pt>
                <c:pt idx="8">
                  <c:v>4.5</c:v>
                </c:pt>
                <c:pt idx="9">
                  <c:v>5</c:v>
                </c:pt>
                <c:pt idx="10">
                  <c:v>5.5</c:v>
                </c:pt>
                <c:pt idx="11">
                  <c:v>6</c:v>
                </c:pt>
                <c:pt idx="12">
                  <c:v>6.5</c:v>
                </c:pt>
                <c:pt idx="13">
                  <c:v>7</c:v>
                </c:pt>
                <c:pt idx="14">
                  <c:v>7.5</c:v>
                </c:pt>
                <c:pt idx="15">
                  <c:v>8</c:v>
                </c:pt>
                <c:pt idx="16">
                  <c:v>8.5</c:v>
                </c:pt>
                <c:pt idx="17">
                  <c:v>9</c:v>
                </c:pt>
                <c:pt idx="18">
                  <c:v>9.5</c:v>
                </c:pt>
                <c:pt idx="19">
                  <c:v>10</c:v>
                </c:pt>
                <c:pt idx="20">
                  <c:v>10.5</c:v>
                </c:pt>
                <c:pt idx="21">
                  <c:v>11</c:v>
                </c:pt>
                <c:pt idx="22">
                  <c:v>11.5</c:v>
                </c:pt>
                <c:pt idx="23">
                  <c:v>12</c:v>
                </c:pt>
                <c:pt idx="24">
                  <c:v>12.5</c:v>
                </c:pt>
                <c:pt idx="25">
                  <c:v>13</c:v>
                </c:pt>
                <c:pt idx="26">
                  <c:v>13.5</c:v>
                </c:pt>
                <c:pt idx="27">
                  <c:v>14</c:v>
                </c:pt>
                <c:pt idx="28">
                  <c:v>14.5</c:v>
                </c:pt>
                <c:pt idx="29">
                  <c:v>15</c:v>
                </c:pt>
              </c:numCache>
            </c:numRef>
          </c:cat>
          <c:val>
            <c:numRef>
              <c:f>'Column+results'!$G$2:$G$31</c:f>
              <c:numCache>
                <c:formatCode>0.0000</c:formatCode>
                <c:ptCount val="30"/>
                <c:pt idx="0">
                  <c:v>0.9677</c:v>
                </c:pt>
                <c:pt idx="1">
                  <c:v>0.97119999999999995</c:v>
                </c:pt>
                <c:pt idx="2">
                  <c:v>0.9748</c:v>
                </c:pt>
                <c:pt idx="3">
                  <c:v>0.97860000000000003</c:v>
                </c:pt>
                <c:pt idx="4">
                  <c:v>0.98270000000000002</c:v>
                </c:pt>
                <c:pt idx="5">
                  <c:v>0.98640000000000005</c:v>
                </c:pt>
                <c:pt idx="6">
                  <c:v>0.98929999999999996</c:v>
                </c:pt>
                <c:pt idx="7">
                  <c:v>0.99150000000000005</c:v>
                </c:pt>
                <c:pt idx="8">
                  <c:v>0.99309999999999998</c:v>
                </c:pt>
                <c:pt idx="9">
                  <c:v>0.99419999999999997</c:v>
                </c:pt>
                <c:pt idx="10">
                  <c:v>0.995</c:v>
                </c:pt>
                <c:pt idx="11">
                  <c:v>0.99560000000000004</c:v>
                </c:pt>
                <c:pt idx="12">
                  <c:v>0.99609999999999999</c:v>
                </c:pt>
                <c:pt idx="13">
                  <c:v>0.99639999999999995</c:v>
                </c:pt>
                <c:pt idx="14">
                  <c:v>0.99660000000000004</c:v>
                </c:pt>
                <c:pt idx="15">
                  <c:v>0.99680000000000002</c:v>
                </c:pt>
                <c:pt idx="16">
                  <c:v>0.99690000000000001</c:v>
                </c:pt>
                <c:pt idx="17">
                  <c:v>0.997</c:v>
                </c:pt>
                <c:pt idx="18">
                  <c:v>0.99709999999999999</c:v>
                </c:pt>
                <c:pt idx="19">
                  <c:v>0.99719999999999998</c:v>
                </c:pt>
                <c:pt idx="20">
                  <c:v>0.99719999999999998</c:v>
                </c:pt>
                <c:pt idx="21">
                  <c:v>0.99729999999999996</c:v>
                </c:pt>
                <c:pt idx="22">
                  <c:v>0.99729999999999996</c:v>
                </c:pt>
                <c:pt idx="23">
                  <c:v>0.99739999999999995</c:v>
                </c:pt>
                <c:pt idx="24">
                  <c:v>0.99739999999999995</c:v>
                </c:pt>
                <c:pt idx="25">
                  <c:v>0.99739999999999995</c:v>
                </c:pt>
                <c:pt idx="26">
                  <c:v>0.99739999999999995</c:v>
                </c:pt>
                <c:pt idx="27">
                  <c:v>0.99739999999999995</c:v>
                </c:pt>
                <c:pt idx="28">
                  <c:v>0.99739999999999995</c:v>
                </c:pt>
                <c:pt idx="29">
                  <c:v>0.99750000000000005</c:v>
                </c:pt>
              </c:numCache>
            </c:numRef>
          </c:val>
          <c:smooth val="0"/>
          <c:extLst>
            <c:ext xmlns:c16="http://schemas.microsoft.com/office/drawing/2014/chart" uri="{C3380CC4-5D6E-409C-BE32-E72D297353CC}">
              <c16:uniqueId val="{00000000-4A9D-4846-B1FE-E515F350B7F2}"/>
            </c:ext>
          </c:extLst>
        </c:ser>
        <c:dLbls>
          <c:showLegendKey val="0"/>
          <c:showVal val="0"/>
          <c:showCatName val="0"/>
          <c:showSerName val="0"/>
          <c:showPercent val="0"/>
          <c:showBubbleSize val="0"/>
        </c:dLbls>
        <c:marker val="1"/>
        <c:smooth val="0"/>
        <c:axId val="1972049376"/>
        <c:axId val="1972060896"/>
      </c:lineChart>
      <c:lineChart>
        <c:grouping val="standard"/>
        <c:varyColors val="0"/>
        <c:ser>
          <c:idx val="1"/>
          <c:order val="1"/>
          <c:tx>
            <c:strRef>
              <c:f>'Column+results'!$H$1</c:f>
              <c:strCache>
                <c:ptCount val="1"/>
                <c:pt idx="0">
                  <c:v>OVHD - Mass Frac (H2S)</c:v>
                </c:pt>
              </c:strCache>
            </c:strRef>
          </c:tx>
          <c:spPr>
            <a:ln w="22225" cap="rnd">
              <a:solidFill>
                <a:schemeClr val="accent2"/>
              </a:solidFill>
              <a:prstDash val="sysDot"/>
              <a:round/>
            </a:ln>
            <a:effectLst/>
          </c:spPr>
          <c:marker>
            <c:symbol val="none"/>
          </c:marker>
          <c:cat>
            <c:numRef>
              <c:f>'Column+results'!$B$2:$B$31</c:f>
              <c:numCache>
                <c:formatCode>0.0</c:formatCode>
                <c:ptCount val="30"/>
                <c:pt idx="0">
                  <c:v>0.5</c:v>
                </c:pt>
                <c:pt idx="1">
                  <c:v>1</c:v>
                </c:pt>
                <c:pt idx="2">
                  <c:v>1.5</c:v>
                </c:pt>
                <c:pt idx="3">
                  <c:v>2</c:v>
                </c:pt>
                <c:pt idx="4">
                  <c:v>2.5</c:v>
                </c:pt>
                <c:pt idx="5">
                  <c:v>3</c:v>
                </c:pt>
                <c:pt idx="6">
                  <c:v>3.5</c:v>
                </c:pt>
                <c:pt idx="7">
                  <c:v>4</c:v>
                </c:pt>
                <c:pt idx="8">
                  <c:v>4.5</c:v>
                </c:pt>
                <c:pt idx="9">
                  <c:v>5</c:v>
                </c:pt>
                <c:pt idx="10">
                  <c:v>5.5</c:v>
                </c:pt>
                <c:pt idx="11">
                  <c:v>6</c:v>
                </c:pt>
                <c:pt idx="12">
                  <c:v>6.5</c:v>
                </c:pt>
                <c:pt idx="13">
                  <c:v>7</c:v>
                </c:pt>
                <c:pt idx="14">
                  <c:v>7.5</c:v>
                </c:pt>
                <c:pt idx="15">
                  <c:v>8</c:v>
                </c:pt>
                <c:pt idx="16">
                  <c:v>8.5</c:v>
                </c:pt>
                <c:pt idx="17">
                  <c:v>9</c:v>
                </c:pt>
                <c:pt idx="18">
                  <c:v>9.5</c:v>
                </c:pt>
                <c:pt idx="19">
                  <c:v>10</c:v>
                </c:pt>
                <c:pt idx="20">
                  <c:v>10.5</c:v>
                </c:pt>
                <c:pt idx="21">
                  <c:v>11</c:v>
                </c:pt>
                <c:pt idx="22">
                  <c:v>11.5</c:v>
                </c:pt>
                <c:pt idx="23">
                  <c:v>12</c:v>
                </c:pt>
                <c:pt idx="24">
                  <c:v>12.5</c:v>
                </c:pt>
                <c:pt idx="25">
                  <c:v>13</c:v>
                </c:pt>
                <c:pt idx="26">
                  <c:v>13.5</c:v>
                </c:pt>
                <c:pt idx="27">
                  <c:v>14</c:v>
                </c:pt>
                <c:pt idx="28">
                  <c:v>14.5</c:v>
                </c:pt>
                <c:pt idx="29">
                  <c:v>15</c:v>
                </c:pt>
              </c:numCache>
            </c:numRef>
          </c:cat>
          <c:val>
            <c:numRef>
              <c:f>'Column+results'!$H$2:$H$31</c:f>
              <c:numCache>
                <c:formatCode>0.00000</c:formatCode>
                <c:ptCount val="30"/>
                <c:pt idx="0">
                  <c:v>2.9899999999999999E-2</c:v>
                </c:pt>
                <c:pt idx="1">
                  <c:v>2.63E-2</c:v>
                </c:pt>
                <c:pt idx="2">
                  <c:v>2.2800000000000001E-2</c:v>
                </c:pt>
                <c:pt idx="3">
                  <c:v>1.9E-2</c:v>
                </c:pt>
                <c:pt idx="4">
                  <c:v>1.49E-2</c:v>
                </c:pt>
                <c:pt idx="5">
                  <c:v>1.12E-2</c:v>
                </c:pt>
                <c:pt idx="6">
                  <c:v>8.3000000000000001E-3</c:v>
                </c:pt>
                <c:pt idx="7">
                  <c:v>6.1000000000000004E-3</c:v>
                </c:pt>
                <c:pt idx="8">
                  <c:v>4.4999999999999997E-3</c:v>
                </c:pt>
                <c:pt idx="9">
                  <c:v>3.3999999999999998E-3</c:v>
                </c:pt>
                <c:pt idx="10">
                  <c:v>2.5999999999999999E-3</c:v>
                </c:pt>
                <c:pt idx="11">
                  <c:v>2E-3</c:v>
                </c:pt>
                <c:pt idx="12">
                  <c:v>1.5E-3</c:v>
                </c:pt>
                <c:pt idx="13">
                  <c:v>1.1999999999999999E-3</c:v>
                </c:pt>
                <c:pt idx="14">
                  <c:v>1E-3</c:v>
                </c:pt>
                <c:pt idx="15">
                  <c:v>8.0000000000000004E-4</c:v>
                </c:pt>
                <c:pt idx="16">
                  <c:v>6.9999999999999999E-4</c:v>
                </c:pt>
                <c:pt idx="17">
                  <c:v>5.9999999999999995E-4</c:v>
                </c:pt>
                <c:pt idx="18">
                  <c:v>5.0000000000000001E-4</c:v>
                </c:pt>
                <c:pt idx="19">
                  <c:v>4.0000000000000002E-4</c:v>
                </c:pt>
                <c:pt idx="20">
                  <c:v>4.0000000000000002E-4</c:v>
                </c:pt>
                <c:pt idx="21">
                  <c:v>2.9999999999999997E-4</c:v>
                </c:pt>
                <c:pt idx="22">
                  <c:v>2.9999999999999997E-4</c:v>
                </c:pt>
                <c:pt idx="23">
                  <c:v>2.0000000000000001E-4</c:v>
                </c:pt>
                <c:pt idx="24">
                  <c:v>2.0000000000000001E-4</c:v>
                </c:pt>
                <c:pt idx="25">
                  <c:v>2.0000000000000001E-4</c:v>
                </c:pt>
                <c:pt idx="26">
                  <c:v>2.0000000000000001E-4</c:v>
                </c:pt>
                <c:pt idx="27">
                  <c:v>2.0000000000000001E-4</c:v>
                </c:pt>
                <c:pt idx="28">
                  <c:v>1E-4</c:v>
                </c:pt>
                <c:pt idx="29">
                  <c:v>1E-4</c:v>
                </c:pt>
              </c:numCache>
            </c:numRef>
          </c:val>
          <c:smooth val="0"/>
          <c:extLst>
            <c:ext xmlns:c16="http://schemas.microsoft.com/office/drawing/2014/chart" uri="{C3380CC4-5D6E-409C-BE32-E72D297353CC}">
              <c16:uniqueId val="{00000001-4A9D-4846-B1FE-E515F350B7F2}"/>
            </c:ext>
          </c:extLst>
        </c:ser>
        <c:dLbls>
          <c:showLegendKey val="0"/>
          <c:showVal val="0"/>
          <c:showCatName val="0"/>
          <c:showSerName val="0"/>
          <c:showPercent val="0"/>
          <c:showBubbleSize val="0"/>
        </c:dLbls>
        <c:marker val="1"/>
        <c:smooth val="0"/>
        <c:axId val="984800672"/>
        <c:axId val="984800192"/>
      </c:lineChart>
      <c:catAx>
        <c:axId val="197204937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en-US"/>
                  <a:t>Molar reflux ratio</a:t>
                </a:r>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title>
        <c:numFmt formatCod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1972060896"/>
        <c:crosses val="autoZero"/>
        <c:auto val="1"/>
        <c:lblAlgn val="ctr"/>
        <c:lblOffset val="100"/>
        <c:noMultiLvlLbl val="0"/>
      </c:catAx>
      <c:valAx>
        <c:axId val="19720608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en-US"/>
                  <a:t>Distillate stream mass fraction(CO₂)</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title>
        <c:numFmt formatCode="0.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1972049376"/>
        <c:crosses val="autoZero"/>
        <c:crossBetween val="between"/>
      </c:valAx>
      <c:valAx>
        <c:axId val="984800192"/>
        <c:scaling>
          <c:orientation val="minMax"/>
        </c:scaling>
        <c:delete val="0"/>
        <c:axPos val="r"/>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en-US"/>
                  <a:t>Distillate stream mass fraction(H₂S)</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title>
        <c:numFmt formatCode="0.00000"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984800672"/>
        <c:crosses val="max"/>
        <c:crossBetween val="between"/>
      </c:valAx>
      <c:catAx>
        <c:axId val="984800672"/>
        <c:scaling>
          <c:orientation val="minMax"/>
        </c:scaling>
        <c:delete val="1"/>
        <c:axPos val="b"/>
        <c:numFmt formatCode="0.0" sourceLinked="1"/>
        <c:majorTickMark val="out"/>
        <c:minorTickMark val="none"/>
        <c:tickLblPos val="nextTo"/>
        <c:crossAx val="984800192"/>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800"/>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cked"/>
        <c:varyColors val="0"/>
        <c:ser>
          <c:idx val="0"/>
          <c:order val="0"/>
          <c:tx>
            <c:strRef>
              <c:f>'Column+results_Distillate rate'!$C$1</c:f>
              <c:strCache>
                <c:ptCount val="1"/>
                <c:pt idx="0">
                  <c:v>OVHD - Mass Frac (CO2)</c:v>
                </c:pt>
              </c:strCache>
            </c:strRef>
          </c:tx>
          <c:spPr>
            <a:ln w="19050" cap="rnd">
              <a:solidFill>
                <a:schemeClr val="accent1"/>
              </a:solidFill>
              <a:round/>
            </a:ln>
            <a:effectLst/>
          </c:spPr>
          <c:marker>
            <c:symbol val="none"/>
          </c:marker>
          <c:cat>
            <c:numRef>
              <c:f>'Column+results_Distillate rate'!$B$2:$B$62</c:f>
              <c:numCache>
                <c:formatCode>General</c:formatCode>
                <c:ptCount val="61"/>
                <c:pt idx="0">
                  <c:v>570</c:v>
                </c:pt>
                <c:pt idx="1">
                  <c:v>570.5</c:v>
                </c:pt>
                <c:pt idx="2">
                  <c:v>571</c:v>
                </c:pt>
                <c:pt idx="3">
                  <c:v>571.5</c:v>
                </c:pt>
                <c:pt idx="4">
                  <c:v>572</c:v>
                </c:pt>
                <c:pt idx="5">
                  <c:v>572.5</c:v>
                </c:pt>
                <c:pt idx="6">
                  <c:v>573</c:v>
                </c:pt>
                <c:pt idx="7">
                  <c:v>573.5</c:v>
                </c:pt>
                <c:pt idx="8">
                  <c:v>574</c:v>
                </c:pt>
                <c:pt idx="9">
                  <c:v>574.5</c:v>
                </c:pt>
                <c:pt idx="10">
                  <c:v>575</c:v>
                </c:pt>
                <c:pt idx="11">
                  <c:v>575.5</c:v>
                </c:pt>
                <c:pt idx="12">
                  <c:v>576</c:v>
                </c:pt>
                <c:pt idx="13">
                  <c:v>576.5</c:v>
                </c:pt>
                <c:pt idx="14">
                  <c:v>577</c:v>
                </c:pt>
                <c:pt idx="15">
                  <c:v>577.5</c:v>
                </c:pt>
                <c:pt idx="16">
                  <c:v>578</c:v>
                </c:pt>
                <c:pt idx="17">
                  <c:v>578.5</c:v>
                </c:pt>
                <c:pt idx="18">
                  <c:v>579</c:v>
                </c:pt>
                <c:pt idx="19">
                  <c:v>579.5</c:v>
                </c:pt>
                <c:pt idx="20">
                  <c:v>580</c:v>
                </c:pt>
                <c:pt idx="21">
                  <c:v>580.5</c:v>
                </c:pt>
                <c:pt idx="22">
                  <c:v>581</c:v>
                </c:pt>
                <c:pt idx="23">
                  <c:v>581.5</c:v>
                </c:pt>
                <c:pt idx="24">
                  <c:v>582</c:v>
                </c:pt>
                <c:pt idx="25">
                  <c:v>582.5</c:v>
                </c:pt>
                <c:pt idx="26">
                  <c:v>583</c:v>
                </c:pt>
                <c:pt idx="27">
                  <c:v>583.5</c:v>
                </c:pt>
                <c:pt idx="28">
                  <c:v>584</c:v>
                </c:pt>
                <c:pt idx="29">
                  <c:v>584.5</c:v>
                </c:pt>
                <c:pt idx="30">
                  <c:v>585</c:v>
                </c:pt>
                <c:pt idx="31">
                  <c:v>585.5</c:v>
                </c:pt>
                <c:pt idx="32">
                  <c:v>586</c:v>
                </c:pt>
                <c:pt idx="33">
                  <c:v>586.5</c:v>
                </c:pt>
                <c:pt idx="34">
                  <c:v>587</c:v>
                </c:pt>
                <c:pt idx="35">
                  <c:v>587.5</c:v>
                </c:pt>
                <c:pt idx="36">
                  <c:v>588</c:v>
                </c:pt>
                <c:pt idx="37">
                  <c:v>588.5</c:v>
                </c:pt>
                <c:pt idx="38">
                  <c:v>589</c:v>
                </c:pt>
                <c:pt idx="39">
                  <c:v>589.5</c:v>
                </c:pt>
                <c:pt idx="40">
                  <c:v>590</c:v>
                </c:pt>
                <c:pt idx="41">
                  <c:v>590.5</c:v>
                </c:pt>
                <c:pt idx="42">
                  <c:v>591</c:v>
                </c:pt>
                <c:pt idx="43">
                  <c:v>591.5</c:v>
                </c:pt>
                <c:pt idx="44">
                  <c:v>592</c:v>
                </c:pt>
                <c:pt idx="45">
                  <c:v>592.5</c:v>
                </c:pt>
                <c:pt idx="46">
                  <c:v>593</c:v>
                </c:pt>
                <c:pt idx="47">
                  <c:v>593.5</c:v>
                </c:pt>
                <c:pt idx="48">
                  <c:v>594</c:v>
                </c:pt>
                <c:pt idx="49">
                  <c:v>594.5</c:v>
                </c:pt>
                <c:pt idx="50">
                  <c:v>595</c:v>
                </c:pt>
                <c:pt idx="51">
                  <c:v>595.5</c:v>
                </c:pt>
                <c:pt idx="52">
                  <c:v>596</c:v>
                </c:pt>
                <c:pt idx="53">
                  <c:v>596.5</c:v>
                </c:pt>
                <c:pt idx="54">
                  <c:v>597</c:v>
                </c:pt>
                <c:pt idx="55">
                  <c:v>597.5</c:v>
                </c:pt>
                <c:pt idx="56">
                  <c:v>598</c:v>
                </c:pt>
                <c:pt idx="57">
                  <c:v>598.5</c:v>
                </c:pt>
                <c:pt idx="58">
                  <c:v>599</c:v>
                </c:pt>
                <c:pt idx="59">
                  <c:v>599.5</c:v>
                </c:pt>
                <c:pt idx="60">
                  <c:v>600</c:v>
                </c:pt>
              </c:numCache>
            </c:numRef>
          </c:cat>
          <c:val>
            <c:numRef>
              <c:f>'Column+results_Distillate rate'!$C$2:$C$62</c:f>
              <c:numCache>
                <c:formatCode>General</c:formatCode>
                <c:ptCount val="61"/>
                <c:pt idx="0">
                  <c:v>0.99709999999999999</c:v>
                </c:pt>
                <c:pt idx="1">
                  <c:v>0.99709999999999999</c:v>
                </c:pt>
                <c:pt idx="2">
                  <c:v>0.99709999999999999</c:v>
                </c:pt>
                <c:pt idx="3">
                  <c:v>0.99709999999999999</c:v>
                </c:pt>
                <c:pt idx="4">
                  <c:v>0.99709999999999999</c:v>
                </c:pt>
                <c:pt idx="5">
                  <c:v>0.99709999999999999</c:v>
                </c:pt>
                <c:pt idx="6">
                  <c:v>0.99719999999999998</c:v>
                </c:pt>
                <c:pt idx="7">
                  <c:v>0.99719999999999998</c:v>
                </c:pt>
                <c:pt idx="8">
                  <c:v>0.99719999999999998</c:v>
                </c:pt>
                <c:pt idx="9">
                  <c:v>0.99719999999999998</c:v>
                </c:pt>
                <c:pt idx="10">
                  <c:v>0.99719999999999998</c:v>
                </c:pt>
                <c:pt idx="11">
                  <c:v>0.99719999999999998</c:v>
                </c:pt>
                <c:pt idx="12">
                  <c:v>0.99719999999999998</c:v>
                </c:pt>
                <c:pt idx="13">
                  <c:v>0.99719999999999998</c:v>
                </c:pt>
                <c:pt idx="14">
                  <c:v>0.99719999999999998</c:v>
                </c:pt>
                <c:pt idx="15">
                  <c:v>0.99719999999999998</c:v>
                </c:pt>
                <c:pt idx="16">
                  <c:v>0.99719999999999998</c:v>
                </c:pt>
                <c:pt idx="17">
                  <c:v>0.99719999999999998</c:v>
                </c:pt>
                <c:pt idx="18">
                  <c:v>0.99719999999999998</c:v>
                </c:pt>
                <c:pt idx="19">
                  <c:v>0.99719999999999998</c:v>
                </c:pt>
                <c:pt idx="20">
                  <c:v>0.99719999999999998</c:v>
                </c:pt>
                <c:pt idx="21">
                  <c:v>0.99719999999999998</c:v>
                </c:pt>
                <c:pt idx="22">
                  <c:v>0.99719999999999998</c:v>
                </c:pt>
                <c:pt idx="23">
                  <c:v>0.99719999999999998</c:v>
                </c:pt>
                <c:pt idx="24">
                  <c:v>0.99719999999999998</c:v>
                </c:pt>
                <c:pt idx="25">
                  <c:v>0.99719999999999998</c:v>
                </c:pt>
                <c:pt idx="26">
                  <c:v>0.99719999999999998</c:v>
                </c:pt>
                <c:pt idx="27">
                  <c:v>0.99719999999999998</c:v>
                </c:pt>
                <c:pt idx="28">
                  <c:v>0.99719999999999998</c:v>
                </c:pt>
                <c:pt idx="29">
                  <c:v>0.99719999999999998</c:v>
                </c:pt>
                <c:pt idx="30">
                  <c:v>0.99719999999999998</c:v>
                </c:pt>
                <c:pt idx="31">
                  <c:v>0.99719999999999998</c:v>
                </c:pt>
                <c:pt idx="32">
                  <c:v>0.99719999999999998</c:v>
                </c:pt>
                <c:pt idx="33">
                  <c:v>0.99719999999999998</c:v>
                </c:pt>
                <c:pt idx="34">
                  <c:v>0.99719999999999998</c:v>
                </c:pt>
                <c:pt idx="35">
                  <c:v>0.99719999999999998</c:v>
                </c:pt>
                <c:pt idx="36">
                  <c:v>0.99719999999999998</c:v>
                </c:pt>
                <c:pt idx="37">
                  <c:v>0.99719999999999998</c:v>
                </c:pt>
                <c:pt idx="38">
                  <c:v>0.99719999999999998</c:v>
                </c:pt>
                <c:pt idx="39">
                  <c:v>0.99719999999999998</c:v>
                </c:pt>
                <c:pt idx="40">
                  <c:v>0.99719999999999998</c:v>
                </c:pt>
                <c:pt idx="41">
                  <c:v>0.99719999999999998</c:v>
                </c:pt>
                <c:pt idx="42">
                  <c:v>0.99719999999999998</c:v>
                </c:pt>
                <c:pt idx="43">
                  <c:v>0.99719999999999998</c:v>
                </c:pt>
                <c:pt idx="44">
                  <c:v>0.99719999999999998</c:v>
                </c:pt>
                <c:pt idx="45">
                  <c:v>0.99719999999999998</c:v>
                </c:pt>
                <c:pt idx="46">
                  <c:v>0.99719999999999998</c:v>
                </c:pt>
                <c:pt idx="47">
                  <c:v>0.99719999999999998</c:v>
                </c:pt>
                <c:pt idx="48">
                  <c:v>0.99719999999999998</c:v>
                </c:pt>
                <c:pt idx="49">
                  <c:v>0.99719999999999998</c:v>
                </c:pt>
                <c:pt idx="50">
                  <c:v>0.99719999999999998</c:v>
                </c:pt>
                <c:pt idx="51">
                  <c:v>0.99709999999999999</c:v>
                </c:pt>
                <c:pt idx="52">
                  <c:v>0.99680000000000002</c:v>
                </c:pt>
                <c:pt idx="53">
                  <c:v>0.99619999999999997</c:v>
                </c:pt>
                <c:pt idx="54">
                  <c:v>0.99550000000000005</c:v>
                </c:pt>
                <c:pt idx="55">
                  <c:v>0.99490000000000001</c:v>
                </c:pt>
                <c:pt idx="56">
                  <c:v>0.99419999999999997</c:v>
                </c:pt>
                <c:pt idx="57">
                  <c:v>0.99360000000000004</c:v>
                </c:pt>
                <c:pt idx="58">
                  <c:v>0.99299999999999999</c:v>
                </c:pt>
                <c:pt idx="59">
                  <c:v>0.99229999999999996</c:v>
                </c:pt>
                <c:pt idx="60">
                  <c:v>0.99170000000000003</c:v>
                </c:pt>
              </c:numCache>
            </c:numRef>
          </c:val>
          <c:smooth val="0"/>
          <c:extLst>
            <c:ext xmlns:c16="http://schemas.microsoft.com/office/drawing/2014/chart" uri="{C3380CC4-5D6E-409C-BE32-E72D297353CC}">
              <c16:uniqueId val="{00000000-B871-47F7-BC0B-F94AD8961CAB}"/>
            </c:ext>
          </c:extLst>
        </c:ser>
        <c:dLbls>
          <c:showLegendKey val="0"/>
          <c:showVal val="0"/>
          <c:showCatName val="0"/>
          <c:showSerName val="0"/>
          <c:showPercent val="0"/>
          <c:showBubbleSize val="0"/>
        </c:dLbls>
        <c:marker val="1"/>
        <c:smooth val="0"/>
        <c:axId val="1190047984"/>
        <c:axId val="1190040784"/>
      </c:lineChart>
      <c:lineChart>
        <c:grouping val="stacked"/>
        <c:varyColors val="0"/>
        <c:ser>
          <c:idx val="1"/>
          <c:order val="1"/>
          <c:tx>
            <c:strRef>
              <c:f>'Column+results_Distillate rate'!$D$1</c:f>
              <c:strCache>
                <c:ptCount val="1"/>
                <c:pt idx="0">
                  <c:v>OVHD -  Mass Frac (H2S)</c:v>
                </c:pt>
              </c:strCache>
            </c:strRef>
          </c:tx>
          <c:spPr>
            <a:ln w="25400" cap="rnd">
              <a:solidFill>
                <a:schemeClr val="accent2"/>
              </a:solidFill>
              <a:prstDash val="sysDot"/>
              <a:round/>
            </a:ln>
            <a:effectLst/>
          </c:spPr>
          <c:marker>
            <c:symbol val="none"/>
          </c:marker>
          <c:cat>
            <c:numRef>
              <c:f>'Column+results_Distillate rate'!$B$2:$B$62</c:f>
              <c:numCache>
                <c:formatCode>General</c:formatCode>
                <c:ptCount val="61"/>
                <c:pt idx="0">
                  <c:v>570</c:v>
                </c:pt>
                <c:pt idx="1">
                  <c:v>570.5</c:v>
                </c:pt>
                <c:pt idx="2">
                  <c:v>571</c:v>
                </c:pt>
                <c:pt idx="3">
                  <c:v>571.5</c:v>
                </c:pt>
                <c:pt idx="4">
                  <c:v>572</c:v>
                </c:pt>
                <c:pt idx="5">
                  <c:v>572.5</c:v>
                </c:pt>
                <c:pt idx="6">
                  <c:v>573</c:v>
                </c:pt>
                <c:pt idx="7">
                  <c:v>573.5</c:v>
                </c:pt>
                <c:pt idx="8">
                  <c:v>574</c:v>
                </c:pt>
                <c:pt idx="9">
                  <c:v>574.5</c:v>
                </c:pt>
                <c:pt idx="10">
                  <c:v>575</c:v>
                </c:pt>
                <c:pt idx="11">
                  <c:v>575.5</c:v>
                </c:pt>
                <c:pt idx="12">
                  <c:v>576</c:v>
                </c:pt>
                <c:pt idx="13">
                  <c:v>576.5</c:v>
                </c:pt>
                <c:pt idx="14">
                  <c:v>577</c:v>
                </c:pt>
                <c:pt idx="15">
                  <c:v>577.5</c:v>
                </c:pt>
                <c:pt idx="16">
                  <c:v>578</c:v>
                </c:pt>
                <c:pt idx="17">
                  <c:v>578.5</c:v>
                </c:pt>
                <c:pt idx="18">
                  <c:v>579</c:v>
                </c:pt>
                <c:pt idx="19">
                  <c:v>579.5</c:v>
                </c:pt>
                <c:pt idx="20">
                  <c:v>580</c:v>
                </c:pt>
                <c:pt idx="21">
                  <c:v>580.5</c:v>
                </c:pt>
                <c:pt idx="22">
                  <c:v>581</c:v>
                </c:pt>
                <c:pt idx="23">
                  <c:v>581.5</c:v>
                </c:pt>
                <c:pt idx="24">
                  <c:v>582</c:v>
                </c:pt>
                <c:pt idx="25">
                  <c:v>582.5</c:v>
                </c:pt>
                <c:pt idx="26">
                  <c:v>583</c:v>
                </c:pt>
                <c:pt idx="27">
                  <c:v>583.5</c:v>
                </c:pt>
                <c:pt idx="28">
                  <c:v>584</c:v>
                </c:pt>
                <c:pt idx="29">
                  <c:v>584.5</c:v>
                </c:pt>
                <c:pt idx="30">
                  <c:v>585</c:v>
                </c:pt>
                <c:pt idx="31">
                  <c:v>585.5</c:v>
                </c:pt>
                <c:pt idx="32">
                  <c:v>586</c:v>
                </c:pt>
                <c:pt idx="33">
                  <c:v>586.5</c:v>
                </c:pt>
                <c:pt idx="34">
                  <c:v>587</c:v>
                </c:pt>
                <c:pt idx="35">
                  <c:v>587.5</c:v>
                </c:pt>
                <c:pt idx="36">
                  <c:v>588</c:v>
                </c:pt>
                <c:pt idx="37">
                  <c:v>588.5</c:v>
                </c:pt>
                <c:pt idx="38">
                  <c:v>589</c:v>
                </c:pt>
                <c:pt idx="39">
                  <c:v>589.5</c:v>
                </c:pt>
                <c:pt idx="40">
                  <c:v>590</c:v>
                </c:pt>
                <c:pt idx="41">
                  <c:v>590.5</c:v>
                </c:pt>
                <c:pt idx="42">
                  <c:v>591</c:v>
                </c:pt>
                <c:pt idx="43">
                  <c:v>591.5</c:v>
                </c:pt>
                <c:pt idx="44">
                  <c:v>592</c:v>
                </c:pt>
                <c:pt idx="45">
                  <c:v>592.5</c:v>
                </c:pt>
                <c:pt idx="46">
                  <c:v>593</c:v>
                </c:pt>
                <c:pt idx="47">
                  <c:v>593.5</c:v>
                </c:pt>
                <c:pt idx="48">
                  <c:v>594</c:v>
                </c:pt>
                <c:pt idx="49">
                  <c:v>594.5</c:v>
                </c:pt>
                <c:pt idx="50">
                  <c:v>595</c:v>
                </c:pt>
                <c:pt idx="51">
                  <c:v>595.5</c:v>
                </c:pt>
                <c:pt idx="52">
                  <c:v>596</c:v>
                </c:pt>
                <c:pt idx="53">
                  <c:v>596.5</c:v>
                </c:pt>
                <c:pt idx="54">
                  <c:v>597</c:v>
                </c:pt>
                <c:pt idx="55">
                  <c:v>597.5</c:v>
                </c:pt>
                <c:pt idx="56">
                  <c:v>598</c:v>
                </c:pt>
                <c:pt idx="57">
                  <c:v>598.5</c:v>
                </c:pt>
                <c:pt idx="58">
                  <c:v>599</c:v>
                </c:pt>
                <c:pt idx="59">
                  <c:v>599.5</c:v>
                </c:pt>
                <c:pt idx="60">
                  <c:v>600</c:v>
                </c:pt>
              </c:numCache>
            </c:numRef>
          </c:cat>
          <c:val>
            <c:numRef>
              <c:f>'Column+results_Distillate rate'!$D$2:$D$62</c:f>
              <c:numCache>
                <c:formatCode>General</c:formatCode>
                <c:ptCount val="61"/>
                <c:pt idx="0">
                  <c:v>4.0000000000000002E-4</c:v>
                </c:pt>
                <c:pt idx="1">
                  <c:v>4.0000000000000002E-4</c:v>
                </c:pt>
                <c:pt idx="2">
                  <c:v>4.0000000000000002E-4</c:v>
                </c:pt>
                <c:pt idx="3">
                  <c:v>4.0000000000000002E-4</c:v>
                </c:pt>
                <c:pt idx="4">
                  <c:v>4.0000000000000002E-4</c:v>
                </c:pt>
                <c:pt idx="5">
                  <c:v>4.0000000000000002E-4</c:v>
                </c:pt>
                <c:pt idx="6">
                  <c:v>4.0000000000000002E-4</c:v>
                </c:pt>
                <c:pt idx="7">
                  <c:v>4.0000000000000002E-4</c:v>
                </c:pt>
                <c:pt idx="8">
                  <c:v>4.0000000000000002E-4</c:v>
                </c:pt>
                <c:pt idx="9">
                  <c:v>4.0000000000000002E-4</c:v>
                </c:pt>
                <c:pt idx="10">
                  <c:v>4.0000000000000002E-4</c:v>
                </c:pt>
                <c:pt idx="11">
                  <c:v>4.0000000000000002E-4</c:v>
                </c:pt>
                <c:pt idx="12">
                  <c:v>4.0000000000000002E-4</c:v>
                </c:pt>
                <c:pt idx="13">
                  <c:v>4.0000000000000002E-4</c:v>
                </c:pt>
                <c:pt idx="14">
                  <c:v>4.0000000000000002E-4</c:v>
                </c:pt>
                <c:pt idx="15">
                  <c:v>4.0000000000000002E-4</c:v>
                </c:pt>
                <c:pt idx="16">
                  <c:v>4.0000000000000002E-4</c:v>
                </c:pt>
                <c:pt idx="17">
                  <c:v>4.0000000000000002E-4</c:v>
                </c:pt>
                <c:pt idx="18">
                  <c:v>4.0000000000000002E-4</c:v>
                </c:pt>
                <c:pt idx="19">
                  <c:v>4.0000000000000002E-4</c:v>
                </c:pt>
                <c:pt idx="20">
                  <c:v>4.0000000000000002E-4</c:v>
                </c:pt>
                <c:pt idx="21">
                  <c:v>4.0000000000000002E-4</c:v>
                </c:pt>
                <c:pt idx="22">
                  <c:v>4.0000000000000002E-4</c:v>
                </c:pt>
                <c:pt idx="23">
                  <c:v>4.0000000000000002E-4</c:v>
                </c:pt>
                <c:pt idx="24">
                  <c:v>4.0000000000000002E-4</c:v>
                </c:pt>
                <c:pt idx="25">
                  <c:v>4.0000000000000002E-4</c:v>
                </c:pt>
                <c:pt idx="26">
                  <c:v>4.0000000000000002E-4</c:v>
                </c:pt>
                <c:pt idx="27">
                  <c:v>4.0000000000000002E-4</c:v>
                </c:pt>
                <c:pt idx="28">
                  <c:v>4.0000000000000002E-4</c:v>
                </c:pt>
                <c:pt idx="29">
                  <c:v>4.0000000000000002E-4</c:v>
                </c:pt>
                <c:pt idx="30">
                  <c:v>4.0000000000000002E-4</c:v>
                </c:pt>
                <c:pt idx="31">
                  <c:v>4.0000000000000002E-4</c:v>
                </c:pt>
                <c:pt idx="32">
                  <c:v>4.0000000000000002E-4</c:v>
                </c:pt>
                <c:pt idx="33">
                  <c:v>4.0000000000000002E-4</c:v>
                </c:pt>
                <c:pt idx="34">
                  <c:v>4.0000000000000002E-4</c:v>
                </c:pt>
                <c:pt idx="35">
                  <c:v>4.0000000000000002E-4</c:v>
                </c:pt>
                <c:pt idx="36">
                  <c:v>4.0000000000000002E-4</c:v>
                </c:pt>
                <c:pt idx="37">
                  <c:v>4.0000000000000002E-4</c:v>
                </c:pt>
                <c:pt idx="38">
                  <c:v>4.0000000000000002E-4</c:v>
                </c:pt>
                <c:pt idx="39">
                  <c:v>4.0000000000000002E-4</c:v>
                </c:pt>
                <c:pt idx="40">
                  <c:v>4.0000000000000002E-4</c:v>
                </c:pt>
                <c:pt idx="41">
                  <c:v>4.0000000000000002E-4</c:v>
                </c:pt>
                <c:pt idx="42">
                  <c:v>4.0000000000000002E-4</c:v>
                </c:pt>
                <c:pt idx="43">
                  <c:v>4.0000000000000002E-4</c:v>
                </c:pt>
                <c:pt idx="44">
                  <c:v>4.0000000000000002E-4</c:v>
                </c:pt>
                <c:pt idx="45">
                  <c:v>4.0000000000000002E-4</c:v>
                </c:pt>
                <c:pt idx="46">
                  <c:v>4.0000000000000002E-4</c:v>
                </c:pt>
                <c:pt idx="47">
                  <c:v>4.0000000000000002E-4</c:v>
                </c:pt>
                <c:pt idx="48">
                  <c:v>4.0000000000000002E-4</c:v>
                </c:pt>
                <c:pt idx="49">
                  <c:v>4.0000000000000002E-4</c:v>
                </c:pt>
                <c:pt idx="50">
                  <c:v>5.0000000000000001E-4</c:v>
                </c:pt>
                <c:pt idx="51">
                  <c:v>5.0000000000000001E-4</c:v>
                </c:pt>
                <c:pt idx="52">
                  <c:v>8.0000000000000004E-4</c:v>
                </c:pt>
                <c:pt idx="53">
                  <c:v>1.4E-3</c:v>
                </c:pt>
                <c:pt idx="54">
                  <c:v>2.0999999999999999E-3</c:v>
                </c:pt>
                <c:pt idx="55">
                  <c:v>2.7000000000000001E-3</c:v>
                </c:pt>
                <c:pt idx="56">
                  <c:v>3.3999999999999998E-3</c:v>
                </c:pt>
                <c:pt idx="57">
                  <c:v>4.0000000000000001E-3</c:v>
                </c:pt>
                <c:pt idx="58">
                  <c:v>4.7000000000000002E-3</c:v>
                </c:pt>
                <c:pt idx="59">
                  <c:v>5.3E-3</c:v>
                </c:pt>
                <c:pt idx="60">
                  <c:v>6.0000000000000001E-3</c:v>
                </c:pt>
              </c:numCache>
            </c:numRef>
          </c:val>
          <c:smooth val="0"/>
          <c:extLst>
            <c:ext xmlns:c16="http://schemas.microsoft.com/office/drawing/2014/chart" uri="{C3380CC4-5D6E-409C-BE32-E72D297353CC}">
              <c16:uniqueId val="{00000001-B871-47F7-BC0B-F94AD8961CAB}"/>
            </c:ext>
          </c:extLst>
        </c:ser>
        <c:dLbls>
          <c:showLegendKey val="0"/>
          <c:showVal val="0"/>
          <c:showCatName val="0"/>
          <c:showSerName val="0"/>
          <c:showPercent val="0"/>
          <c:showBubbleSize val="0"/>
        </c:dLbls>
        <c:marker val="1"/>
        <c:smooth val="0"/>
        <c:axId val="115542432"/>
        <c:axId val="115546752"/>
      </c:lineChart>
      <c:catAx>
        <c:axId val="1190047984"/>
        <c:scaling>
          <c:orientation val="minMax"/>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en-US"/>
                  <a:t>Distillate molar rate</a:t>
                </a:r>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1190040784"/>
        <c:crosses val="autoZero"/>
        <c:auto val="1"/>
        <c:lblAlgn val="ctr"/>
        <c:lblOffset val="100"/>
        <c:noMultiLvlLbl val="0"/>
      </c:catAx>
      <c:valAx>
        <c:axId val="119004078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en-US"/>
                  <a:t>Distillate stream mass fraction(CO₂)</a:t>
                </a:r>
              </a:p>
            </c:rich>
          </c:tx>
          <c:layout>
            <c:manualLayout>
              <c:xMode val="edge"/>
              <c:yMode val="edge"/>
              <c:x val="2.7076267430733804E-2"/>
              <c:y val="2.7212902734984213E-2"/>
            </c:manualLayout>
          </c:layout>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1190047984"/>
        <c:crosses val="autoZero"/>
        <c:crossBetween val="between"/>
      </c:valAx>
      <c:valAx>
        <c:axId val="115546752"/>
        <c:scaling>
          <c:orientation val="minMax"/>
        </c:scaling>
        <c:delete val="0"/>
        <c:axPos val="r"/>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en-US"/>
                  <a:t>Distillate stream mass fraction(H₂S)</a:t>
                </a:r>
              </a:p>
            </c:rich>
          </c:tx>
          <c:layout>
            <c:manualLayout>
              <c:xMode val="edge"/>
              <c:yMode val="edge"/>
              <c:x val="0.9393255805119467"/>
              <c:y val="3.1413700886633027E-2"/>
            </c:manualLayout>
          </c:layout>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115542432"/>
        <c:crosses val="max"/>
        <c:crossBetween val="between"/>
      </c:valAx>
      <c:catAx>
        <c:axId val="115542432"/>
        <c:scaling>
          <c:orientation val="minMax"/>
        </c:scaling>
        <c:delete val="1"/>
        <c:axPos val="b"/>
        <c:numFmt formatCode="General" sourceLinked="1"/>
        <c:majorTickMark val="out"/>
        <c:minorTickMark val="none"/>
        <c:tickLblPos val="nextTo"/>
        <c:crossAx val="115546752"/>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800"/>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'Column+results_Distillate rate'!$E$1</c:f>
              <c:strCache>
                <c:ptCount val="1"/>
                <c:pt idx="0">
                  <c:v>BTM - Mass Frac (CO2)</c:v>
                </c:pt>
              </c:strCache>
            </c:strRef>
          </c:tx>
          <c:spPr>
            <a:ln w="19050" cap="rnd">
              <a:solidFill>
                <a:schemeClr val="accent1"/>
              </a:solidFill>
              <a:round/>
            </a:ln>
            <a:effectLst/>
          </c:spPr>
          <c:marker>
            <c:symbol val="none"/>
          </c:marker>
          <c:cat>
            <c:numRef>
              <c:f>'Column+results_Distillate rate'!$B$2:$B$62</c:f>
              <c:numCache>
                <c:formatCode>General</c:formatCode>
                <c:ptCount val="61"/>
                <c:pt idx="0">
                  <c:v>570</c:v>
                </c:pt>
                <c:pt idx="1">
                  <c:v>570.5</c:v>
                </c:pt>
                <c:pt idx="2">
                  <c:v>571</c:v>
                </c:pt>
                <c:pt idx="3">
                  <c:v>571.5</c:v>
                </c:pt>
                <c:pt idx="4">
                  <c:v>572</c:v>
                </c:pt>
                <c:pt idx="5">
                  <c:v>572.5</c:v>
                </c:pt>
                <c:pt idx="6">
                  <c:v>573</c:v>
                </c:pt>
                <c:pt idx="7">
                  <c:v>573.5</c:v>
                </c:pt>
                <c:pt idx="8">
                  <c:v>574</c:v>
                </c:pt>
                <c:pt idx="9">
                  <c:v>574.5</c:v>
                </c:pt>
                <c:pt idx="10">
                  <c:v>575</c:v>
                </c:pt>
                <c:pt idx="11">
                  <c:v>575.5</c:v>
                </c:pt>
                <c:pt idx="12">
                  <c:v>576</c:v>
                </c:pt>
                <c:pt idx="13">
                  <c:v>576.5</c:v>
                </c:pt>
                <c:pt idx="14">
                  <c:v>577</c:v>
                </c:pt>
                <c:pt idx="15">
                  <c:v>577.5</c:v>
                </c:pt>
                <c:pt idx="16">
                  <c:v>578</c:v>
                </c:pt>
                <c:pt idx="17">
                  <c:v>578.5</c:v>
                </c:pt>
                <c:pt idx="18">
                  <c:v>579</c:v>
                </c:pt>
                <c:pt idx="19">
                  <c:v>579.5</c:v>
                </c:pt>
                <c:pt idx="20">
                  <c:v>580</c:v>
                </c:pt>
                <c:pt idx="21">
                  <c:v>580.5</c:v>
                </c:pt>
                <c:pt idx="22">
                  <c:v>581</c:v>
                </c:pt>
                <c:pt idx="23">
                  <c:v>581.5</c:v>
                </c:pt>
                <c:pt idx="24">
                  <c:v>582</c:v>
                </c:pt>
                <c:pt idx="25">
                  <c:v>582.5</c:v>
                </c:pt>
                <c:pt idx="26">
                  <c:v>583</c:v>
                </c:pt>
                <c:pt idx="27">
                  <c:v>583.5</c:v>
                </c:pt>
                <c:pt idx="28">
                  <c:v>584</c:v>
                </c:pt>
                <c:pt idx="29">
                  <c:v>584.5</c:v>
                </c:pt>
                <c:pt idx="30">
                  <c:v>585</c:v>
                </c:pt>
                <c:pt idx="31">
                  <c:v>585.5</c:v>
                </c:pt>
                <c:pt idx="32">
                  <c:v>586</c:v>
                </c:pt>
                <c:pt idx="33">
                  <c:v>586.5</c:v>
                </c:pt>
                <c:pt idx="34">
                  <c:v>587</c:v>
                </c:pt>
                <c:pt idx="35">
                  <c:v>587.5</c:v>
                </c:pt>
                <c:pt idx="36">
                  <c:v>588</c:v>
                </c:pt>
                <c:pt idx="37">
                  <c:v>588.5</c:v>
                </c:pt>
                <c:pt idx="38">
                  <c:v>589</c:v>
                </c:pt>
                <c:pt idx="39">
                  <c:v>589.5</c:v>
                </c:pt>
                <c:pt idx="40">
                  <c:v>590</c:v>
                </c:pt>
                <c:pt idx="41">
                  <c:v>590.5</c:v>
                </c:pt>
                <c:pt idx="42">
                  <c:v>591</c:v>
                </c:pt>
                <c:pt idx="43">
                  <c:v>591.5</c:v>
                </c:pt>
                <c:pt idx="44">
                  <c:v>592</c:v>
                </c:pt>
                <c:pt idx="45">
                  <c:v>592.5</c:v>
                </c:pt>
                <c:pt idx="46">
                  <c:v>593</c:v>
                </c:pt>
                <c:pt idx="47">
                  <c:v>593.5</c:v>
                </c:pt>
                <c:pt idx="48">
                  <c:v>594</c:v>
                </c:pt>
                <c:pt idx="49">
                  <c:v>594.5</c:v>
                </c:pt>
                <c:pt idx="50">
                  <c:v>595</c:v>
                </c:pt>
                <c:pt idx="51">
                  <c:v>595.5</c:v>
                </c:pt>
                <c:pt idx="52">
                  <c:v>596</c:v>
                </c:pt>
                <c:pt idx="53">
                  <c:v>596.5</c:v>
                </c:pt>
                <c:pt idx="54">
                  <c:v>597</c:v>
                </c:pt>
                <c:pt idx="55">
                  <c:v>597.5</c:v>
                </c:pt>
                <c:pt idx="56">
                  <c:v>598</c:v>
                </c:pt>
                <c:pt idx="57">
                  <c:v>598.5</c:v>
                </c:pt>
                <c:pt idx="58">
                  <c:v>599</c:v>
                </c:pt>
                <c:pt idx="59">
                  <c:v>599.5</c:v>
                </c:pt>
                <c:pt idx="60">
                  <c:v>600</c:v>
                </c:pt>
              </c:numCache>
            </c:numRef>
          </c:cat>
          <c:val>
            <c:numRef>
              <c:f>'Column+results_Distillate rate'!$E$2:$E$62</c:f>
              <c:numCache>
                <c:formatCode>General</c:formatCode>
                <c:ptCount val="61"/>
                <c:pt idx="0">
                  <c:v>0.56079999999999997</c:v>
                </c:pt>
                <c:pt idx="1">
                  <c:v>0.55249999999999999</c:v>
                </c:pt>
                <c:pt idx="2">
                  <c:v>0.54849999999999999</c:v>
                </c:pt>
                <c:pt idx="3">
                  <c:v>0.54330000000000001</c:v>
                </c:pt>
                <c:pt idx="4">
                  <c:v>0.53800000000000003</c:v>
                </c:pt>
                <c:pt idx="5">
                  <c:v>0.53280000000000005</c:v>
                </c:pt>
                <c:pt idx="6">
                  <c:v>0.5272</c:v>
                </c:pt>
                <c:pt idx="7">
                  <c:v>0.52170000000000005</c:v>
                </c:pt>
                <c:pt idx="8">
                  <c:v>0.51590000000000003</c:v>
                </c:pt>
                <c:pt idx="9">
                  <c:v>0.5101</c:v>
                </c:pt>
                <c:pt idx="10">
                  <c:v>0.504</c:v>
                </c:pt>
                <c:pt idx="11">
                  <c:v>0.498</c:v>
                </c:pt>
                <c:pt idx="12">
                  <c:v>0.49149999999999999</c:v>
                </c:pt>
                <c:pt idx="13">
                  <c:v>0.48520000000000002</c:v>
                </c:pt>
                <c:pt idx="14">
                  <c:v>0.47839999999999999</c:v>
                </c:pt>
                <c:pt idx="15">
                  <c:v>0.4718</c:v>
                </c:pt>
                <c:pt idx="16">
                  <c:v>0.46460000000000001</c:v>
                </c:pt>
                <c:pt idx="17">
                  <c:v>0.45760000000000001</c:v>
                </c:pt>
                <c:pt idx="18">
                  <c:v>0.4501</c:v>
                </c:pt>
                <c:pt idx="19">
                  <c:v>0.4425</c:v>
                </c:pt>
                <c:pt idx="20">
                  <c:v>0.43469999999999998</c:v>
                </c:pt>
                <c:pt idx="21">
                  <c:v>0.42670000000000002</c:v>
                </c:pt>
                <c:pt idx="22">
                  <c:v>0.41849999999999998</c:v>
                </c:pt>
                <c:pt idx="23">
                  <c:v>0.41</c:v>
                </c:pt>
                <c:pt idx="24">
                  <c:v>0.40129999999999999</c:v>
                </c:pt>
                <c:pt idx="25">
                  <c:v>0.39229999999999998</c:v>
                </c:pt>
                <c:pt idx="26">
                  <c:v>0.38300000000000001</c:v>
                </c:pt>
                <c:pt idx="27">
                  <c:v>0.3735</c:v>
                </c:pt>
                <c:pt idx="28">
                  <c:v>0.36370000000000002</c:v>
                </c:pt>
                <c:pt idx="29">
                  <c:v>0.35349999999999998</c:v>
                </c:pt>
                <c:pt idx="30">
                  <c:v>0.34300000000000003</c:v>
                </c:pt>
                <c:pt idx="31">
                  <c:v>0.3322</c:v>
                </c:pt>
                <c:pt idx="32">
                  <c:v>0.32479999999999998</c:v>
                </c:pt>
                <c:pt idx="33">
                  <c:v>0.31309999999999999</c:v>
                </c:pt>
                <c:pt idx="34">
                  <c:v>0.30120000000000002</c:v>
                </c:pt>
                <c:pt idx="35">
                  <c:v>0.28899999999999998</c:v>
                </c:pt>
                <c:pt idx="36">
                  <c:v>0.27629999999999999</c:v>
                </c:pt>
                <c:pt idx="37">
                  <c:v>0.26319999999999999</c:v>
                </c:pt>
                <c:pt idx="38">
                  <c:v>0.24959999999999999</c:v>
                </c:pt>
                <c:pt idx="39">
                  <c:v>0.23549999999999999</c:v>
                </c:pt>
                <c:pt idx="40">
                  <c:v>0.22090000000000001</c:v>
                </c:pt>
                <c:pt idx="41">
                  <c:v>0.20580000000000001</c:v>
                </c:pt>
                <c:pt idx="42">
                  <c:v>0.19009999999999999</c:v>
                </c:pt>
                <c:pt idx="43">
                  <c:v>0.17380000000000001</c:v>
                </c:pt>
                <c:pt idx="44">
                  <c:v>0.155</c:v>
                </c:pt>
                <c:pt idx="45">
                  <c:v>0.13689999999999999</c:v>
                </c:pt>
                <c:pt idx="46">
                  <c:v>0.1182</c:v>
                </c:pt>
                <c:pt idx="47">
                  <c:v>9.8299999999999998E-2</c:v>
                </c:pt>
                <c:pt idx="48">
                  <c:v>7.7600000000000002E-2</c:v>
                </c:pt>
                <c:pt idx="49">
                  <c:v>5.7599999999999998E-2</c:v>
                </c:pt>
                <c:pt idx="50">
                  <c:v>3.5700000000000003E-2</c:v>
                </c:pt>
                <c:pt idx="51">
                  <c:v>1.23E-2</c:v>
                </c:pt>
                <c:pt idx="52">
                  <c:v>0</c:v>
                </c:pt>
                <c:pt idx="53">
                  <c:v>0</c:v>
                </c:pt>
                <c:pt idx="54">
                  <c:v>0</c:v>
                </c:pt>
                <c:pt idx="55">
                  <c:v>0</c:v>
                </c:pt>
                <c:pt idx="56">
                  <c:v>0</c:v>
                </c:pt>
                <c:pt idx="57">
                  <c:v>0</c:v>
                </c:pt>
                <c:pt idx="58">
                  <c:v>0</c:v>
                </c:pt>
                <c:pt idx="59">
                  <c:v>0</c:v>
                </c:pt>
                <c:pt idx="60">
                  <c:v>0</c:v>
                </c:pt>
              </c:numCache>
            </c:numRef>
          </c:val>
          <c:smooth val="0"/>
          <c:extLst>
            <c:ext xmlns:c16="http://schemas.microsoft.com/office/drawing/2014/chart" uri="{C3380CC4-5D6E-409C-BE32-E72D297353CC}">
              <c16:uniqueId val="{00000000-084F-45CA-B995-CDD11947F362}"/>
            </c:ext>
          </c:extLst>
        </c:ser>
        <c:dLbls>
          <c:showLegendKey val="0"/>
          <c:showVal val="0"/>
          <c:showCatName val="0"/>
          <c:showSerName val="0"/>
          <c:showPercent val="0"/>
          <c:showBubbleSize val="0"/>
        </c:dLbls>
        <c:marker val="1"/>
        <c:smooth val="0"/>
        <c:axId val="1972056576"/>
        <c:axId val="1972057056"/>
      </c:lineChart>
      <c:lineChart>
        <c:grouping val="standard"/>
        <c:varyColors val="0"/>
        <c:ser>
          <c:idx val="1"/>
          <c:order val="1"/>
          <c:tx>
            <c:strRef>
              <c:f>'Column+results_Distillate rate'!$F$1</c:f>
              <c:strCache>
                <c:ptCount val="1"/>
                <c:pt idx="0">
                  <c:v>BTM - Mass Frac (H2S)</c:v>
                </c:pt>
              </c:strCache>
            </c:strRef>
          </c:tx>
          <c:spPr>
            <a:ln w="25400" cap="rnd">
              <a:solidFill>
                <a:schemeClr val="accent2"/>
              </a:solidFill>
              <a:prstDash val="sysDot"/>
              <a:round/>
            </a:ln>
            <a:effectLst/>
          </c:spPr>
          <c:marker>
            <c:symbol val="none"/>
          </c:marker>
          <c:cat>
            <c:numRef>
              <c:f>'Column+results_Distillate rate'!$B$2:$B$62</c:f>
              <c:numCache>
                <c:formatCode>General</c:formatCode>
                <c:ptCount val="61"/>
                <c:pt idx="0">
                  <c:v>570</c:v>
                </c:pt>
                <c:pt idx="1">
                  <c:v>570.5</c:v>
                </c:pt>
                <c:pt idx="2">
                  <c:v>571</c:v>
                </c:pt>
                <c:pt idx="3">
                  <c:v>571.5</c:v>
                </c:pt>
                <c:pt idx="4">
                  <c:v>572</c:v>
                </c:pt>
                <c:pt idx="5">
                  <c:v>572.5</c:v>
                </c:pt>
                <c:pt idx="6">
                  <c:v>573</c:v>
                </c:pt>
                <c:pt idx="7">
                  <c:v>573.5</c:v>
                </c:pt>
                <c:pt idx="8">
                  <c:v>574</c:v>
                </c:pt>
                <c:pt idx="9">
                  <c:v>574.5</c:v>
                </c:pt>
                <c:pt idx="10">
                  <c:v>575</c:v>
                </c:pt>
                <c:pt idx="11">
                  <c:v>575.5</c:v>
                </c:pt>
                <c:pt idx="12">
                  <c:v>576</c:v>
                </c:pt>
                <c:pt idx="13">
                  <c:v>576.5</c:v>
                </c:pt>
                <c:pt idx="14">
                  <c:v>577</c:v>
                </c:pt>
                <c:pt idx="15">
                  <c:v>577.5</c:v>
                </c:pt>
                <c:pt idx="16">
                  <c:v>578</c:v>
                </c:pt>
                <c:pt idx="17">
                  <c:v>578.5</c:v>
                </c:pt>
                <c:pt idx="18">
                  <c:v>579</c:v>
                </c:pt>
                <c:pt idx="19">
                  <c:v>579.5</c:v>
                </c:pt>
                <c:pt idx="20">
                  <c:v>580</c:v>
                </c:pt>
                <c:pt idx="21">
                  <c:v>580.5</c:v>
                </c:pt>
                <c:pt idx="22">
                  <c:v>581</c:v>
                </c:pt>
                <c:pt idx="23">
                  <c:v>581.5</c:v>
                </c:pt>
                <c:pt idx="24">
                  <c:v>582</c:v>
                </c:pt>
                <c:pt idx="25">
                  <c:v>582.5</c:v>
                </c:pt>
                <c:pt idx="26">
                  <c:v>583</c:v>
                </c:pt>
                <c:pt idx="27">
                  <c:v>583.5</c:v>
                </c:pt>
                <c:pt idx="28">
                  <c:v>584</c:v>
                </c:pt>
                <c:pt idx="29">
                  <c:v>584.5</c:v>
                </c:pt>
                <c:pt idx="30">
                  <c:v>585</c:v>
                </c:pt>
                <c:pt idx="31">
                  <c:v>585.5</c:v>
                </c:pt>
                <c:pt idx="32">
                  <c:v>586</c:v>
                </c:pt>
                <c:pt idx="33">
                  <c:v>586.5</c:v>
                </c:pt>
                <c:pt idx="34">
                  <c:v>587</c:v>
                </c:pt>
                <c:pt idx="35">
                  <c:v>587.5</c:v>
                </c:pt>
                <c:pt idx="36">
                  <c:v>588</c:v>
                </c:pt>
                <c:pt idx="37">
                  <c:v>588.5</c:v>
                </c:pt>
                <c:pt idx="38">
                  <c:v>589</c:v>
                </c:pt>
                <c:pt idx="39">
                  <c:v>589.5</c:v>
                </c:pt>
                <c:pt idx="40">
                  <c:v>590</c:v>
                </c:pt>
                <c:pt idx="41">
                  <c:v>590.5</c:v>
                </c:pt>
                <c:pt idx="42">
                  <c:v>591</c:v>
                </c:pt>
                <c:pt idx="43">
                  <c:v>591.5</c:v>
                </c:pt>
                <c:pt idx="44">
                  <c:v>592</c:v>
                </c:pt>
                <c:pt idx="45">
                  <c:v>592.5</c:v>
                </c:pt>
                <c:pt idx="46">
                  <c:v>593</c:v>
                </c:pt>
                <c:pt idx="47">
                  <c:v>593.5</c:v>
                </c:pt>
                <c:pt idx="48">
                  <c:v>594</c:v>
                </c:pt>
                <c:pt idx="49">
                  <c:v>594.5</c:v>
                </c:pt>
                <c:pt idx="50">
                  <c:v>595</c:v>
                </c:pt>
                <c:pt idx="51">
                  <c:v>595.5</c:v>
                </c:pt>
                <c:pt idx="52">
                  <c:v>596</c:v>
                </c:pt>
                <c:pt idx="53">
                  <c:v>596.5</c:v>
                </c:pt>
                <c:pt idx="54">
                  <c:v>597</c:v>
                </c:pt>
                <c:pt idx="55">
                  <c:v>597.5</c:v>
                </c:pt>
                <c:pt idx="56">
                  <c:v>598</c:v>
                </c:pt>
                <c:pt idx="57">
                  <c:v>598.5</c:v>
                </c:pt>
                <c:pt idx="58">
                  <c:v>599</c:v>
                </c:pt>
                <c:pt idx="59">
                  <c:v>599.5</c:v>
                </c:pt>
                <c:pt idx="60">
                  <c:v>600</c:v>
                </c:pt>
              </c:numCache>
            </c:numRef>
          </c:cat>
          <c:val>
            <c:numRef>
              <c:f>'Column+results_Distillate rate'!$F$2:$F$62</c:f>
              <c:numCache>
                <c:formatCode>General</c:formatCode>
                <c:ptCount val="61"/>
                <c:pt idx="0">
                  <c:v>0.43519999999999998</c:v>
                </c:pt>
                <c:pt idx="1">
                  <c:v>0.44340000000000002</c:v>
                </c:pt>
                <c:pt idx="2">
                  <c:v>0.44729999999999998</c:v>
                </c:pt>
                <c:pt idx="3">
                  <c:v>0.4526</c:v>
                </c:pt>
                <c:pt idx="4">
                  <c:v>0.45779999999999998</c:v>
                </c:pt>
                <c:pt idx="5">
                  <c:v>0.46300000000000002</c:v>
                </c:pt>
                <c:pt idx="6">
                  <c:v>0.46850000000000003</c:v>
                </c:pt>
                <c:pt idx="7">
                  <c:v>0.47389999999999999</c:v>
                </c:pt>
                <c:pt idx="8">
                  <c:v>0.47970000000000002</c:v>
                </c:pt>
                <c:pt idx="9">
                  <c:v>0.4854</c:v>
                </c:pt>
                <c:pt idx="10">
                  <c:v>0.49149999999999999</c:v>
                </c:pt>
                <c:pt idx="11">
                  <c:v>0.49740000000000001</c:v>
                </c:pt>
                <c:pt idx="12">
                  <c:v>0.50390000000000001</c:v>
                </c:pt>
                <c:pt idx="13">
                  <c:v>0.5101</c:v>
                </c:pt>
                <c:pt idx="14">
                  <c:v>0.51680000000000004</c:v>
                </c:pt>
                <c:pt idx="15">
                  <c:v>0.52339999999999998</c:v>
                </c:pt>
                <c:pt idx="16">
                  <c:v>0.53049999999999997</c:v>
                </c:pt>
                <c:pt idx="17">
                  <c:v>0.53749999999999998</c:v>
                </c:pt>
                <c:pt idx="18">
                  <c:v>0.54490000000000005</c:v>
                </c:pt>
                <c:pt idx="19">
                  <c:v>0.5524</c:v>
                </c:pt>
                <c:pt idx="20">
                  <c:v>0.56010000000000004</c:v>
                </c:pt>
                <c:pt idx="21">
                  <c:v>0.56810000000000005</c:v>
                </c:pt>
                <c:pt idx="22">
                  <c:v>0.57620000000000005</c:v>
                </c:pt>
                <c:pt idx="23">
                  <c:v>0.58460000000000001</c:v>
                </c:pt>
                <c:pt idx="24">
                  <c:v>0.59330000000000005</c:v>
                </c:pt>
                <c:pt idx="25">
                  <c:v>0.60219999999999996</c:v>
                </c:pt>
                <c:pt idx="26">
                  <c:v>0.61129999999999995</c:v>
                </c:pt>
                <c:pt idx="27">
                  <c:v>0.62080000000000002</c:v>
                </c:pt>
                <c:pt idx="28">
                  <c:v>0.63060000000000005</c:v>
                </c:pt>
                <c:pt idx="29">
                  <c:v>0.64059999999999995</c:v>
                </c:pt>
                <c:pt idx="30">
                  <c:v>0.65100000000000002</c:v>
                </c:pt>
                <c:pt idx="31">
                  <c:v>0.66169999999999995</c:v>
                </c:pt>
                <c:pt idx="32">
                  <c:v>0.66900000000000004</c:v>
                </c:pt>
                <c:pt idx="33">
                  <c:v>0.68059999999999998</c:v>
                </c:pt>
                <c:pt idx="34">
                  <c:v>0.69240000000000002</c:v>
                </c:pt>
                <c:pt idx="35">
                  <c:v>0.70450000000000002</c:v>
                </c:pt>
                <c:pt idx="36">
                  <c:v>0.71709999999999996</c:v>
                </c:pt>
                <c:pt idx="37">
                  <c:v>0.73009999999999997</c:v>
                </c:pt>
                <c:pt idx="38">
                  <c:v>0.74360000000000004</c:v>
                </c:pt>
                <c:pt idx="39">
                  <c:v>0.75749999999999995</c:v>
                </c:pt>
                <c:pt idx="40">
                  <c:v>0.77200000000000002</c:v>
                </c:pt>
                <c:pt idx="41">
                  <c:v>0.78690000000000004</c:v>
                </c:pt>
                <c:pt idx="42">
                  <c:v>0.80249999999999999</c:v>
                </c:pt>
                <c:pt idx="43">
                  <c:v>0.81869999999999998</c:v>
                </c:pt>
                <c:pt idx="44">
                  <c:v>0.83730000000000004</c:v>
                </c:pt>
                <c:pt idx="45">
                  <c:v>0.85519999999999996</c:v>
                </c:pt>
                <c:pt idx="46">
                  <c:v>0.87380000000000002</c:v>
                </c:pt>
                <c:pt idx="47">
                  <c:v>0.89339999999999997</c:v>
                </c:pt>
                <c:pt idx="48">
                  <c:v>0.91400000000000003</c:v>
                </c:pt>
                <c:pt idx="49">
                  <c:v>0.93379999999999996</c:v>
                </c:pt>
                <c:pt idx="50">
                  <c:v>0.95550000000000002</c:v>
                </c:pt>
                <c:pt idx="51">
                  <c:v>0.97870000000000001</c:v>
                </c:pt>
                <c:pt idx="52">
                  <c:v>0.99080000000000001</c:v>
                </c:pt>
                <c:pt idx="53">
                  <c:v>0.99060000000000004</c:v>
                </c:pt>
                <c:pt idx="54">
                  <c:v>0.99039999999999995</c:v>
                </c:pt>
                <c:pt idx="55">
                  <c:v>0.99019999999999997</c:v>
                </c:pt>
                <c:pt idx="56">
                  <c:v>0.99</c:v>
                </c:pt>
                <c:pt idx="57">
                  <c:v>0.98980000000000001</c:v>
                </c:pt>
                <c:pt idx="58">
                  <c:v>0.98960000000000004</c:v>
                </c:pt>
                <c:pt idx="59">
                  <c:v>0.98929999999999996</c:v>
                </c:pt>
                <c:pt idx="60">
                  <c:v>0.98909999999999998</c:v>
                </c:pt>
              </c:numCache>
            </c:numRef>
          </c:val>
          <c:smooth val="0"/>
          <c:extLst>
            <c:ext xmlns:c16="http://schemas.microsoft.com/office/drawing/2014/chart" uri="{C3380CC4-5D6E-409C-BE32-E72D297353CC}">
              <c16:uniqueId val="{00000001-084F-45CA-B995-CDD11947F362}"/>
            </c:ext>
          </c:extLst>
        </c:ser>
        <c:dLbls>
          <c:showLegendKey val="0"/>
          <c:showVal val="0"/>
          <c:showCatName val="0"/>
          <c:showSerName val="0"/>
          <c:showPercent val="0"/>
          <c:showBubbleSize val="0"/>
        </c:dLbls>
        <c:marker val="1"/>
        <c:smooth val="0"/>
        <c:axId val="115548672"/>
        <c:axId val="115562112"/>
      </c:lineChart>
      <c:catAx>
        <c:axId val="1972056576"/>
        <c:scaling>
          <c:orientation val="minMax"/>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en-US"/>
                  <a:t>Distillate molar rate</a:t>
                </a:r>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1972057056"/>
        <c:crosses val="autoZero"/>
        <c:auto val="1"/>
        <c:lblAlgn val="ctr"/>
        <c:lblOffset val="100"/>
        <c:noMultiLvlLbl val="0"/>
      </c:catAx>
      <c:valAx>
        <c:axId val="19720570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en-US"/>
                  <a:t>Bottoms stream mass fraction(CO₂)</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1972056576"/>
        <c:crosses val="autoZero"/>
        <c:crossBetween val="between"/>
      </c:valAx>
      <c:valAx>
        <c:axId val="115562112"/>
        <c:scaling>
          <c:orientation val="minMax"/>
          <c:max val="1"/>
        </c:scaling>
        <c:delete val="0"/>
        <c:axPos val="r"/>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en-US"/>
                  <a:t>Bottoms stream mass fraction(H₂S)</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115548672"/>
        <c:crosses val="max"/>
        <c:crossBetween val="between"/>
      </c:valAx>
      <c:catAx>
        <c:axId val="115548672"/>
        <c:scaling>
          <c:orientation val="minMax"/>
        </c:scaling>
        <c:delete val="1"/>
        <c:axPos val="b"/>
        <c:numFmt formatCode="General" sourceLinked="1"/>
        <c:majorTickMark val="out"/>
        <c:minorTickMark val="none"/>
        <c:tickLblPos val="nextTo"/>
        <c:crossAx val="115562112"/>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800"/>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9314DB-2A8F-4232-AC7C-E825D4F0A2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4499</Words>
  <Characters>25645</Characters>
  <Application>Microsoft Office Word</Application>
  <DocSecurity>0</DocSecurity>
  <Lines>213</Lines>
  <Paragraphs>60</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Dipartimento CMIC - Politecnico di Milano</Company>
  <LinksUpToDate>false</LinksUpToDate>
  <CharactersWithSpaces>30084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raffaella</dc:creator>
  <cp:lastModifiedBy>DELL</cp:lastModifiedBy>
  <cp:revision>2</cp:revision>
  <cp:lastPrinted>2015-05-12T18:31:00Z</cp:lastPrinted>
  <dcterms:created xsi:type="dcterms:W3CDTF">2026-08-10T12:26:00Z</dcterms:created>
  <dcterms:modified xsi:type="dcterms:W3CDTF">2026-08-10T12:26:00Z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zotero-version="7.0.32"&gt;&lt;session id="cmeD8clX"/&gt;&lt;style id="http://www.zotero.org/styles/apa" locale="en-US" hasBibliography="1" bibliographyStyleHasBeenSet="1"/&gt;&lt;prefs&gt;&lt;pref name="fieldType" value="Field"/&gt;&lt;pref name="storeReference</vt:lpwstr>
  </property>
  <property fmtid="{D5CDD505-2E9C-101B-9397-08002B2CF9AE}" pid="3" name="ZOTERO_PREF_2">
    <vt:lpwstr>s" value="true"/&gt;&lt;/prefs&gt;&lt;/data&gt;</vt:lpwstr>
  </property>
</Properties>
</file>